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C405B" w14:textId="4AD02029" w:rsidR="00AF009B" w:rsidRPr="003C14AA" w:rsidRDefault="00AF009B" w:rsidP="00AF009B">
      <w:pPr>
        <w:spacing w:before="240"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14AA">
        <w:rPr>
          <w:rFonts w:ascii="Times New Roman" w:hAnsi="Times New Roman" w:cs="Times New Roman"/>
          <w:b/>
          <w:bCs/>
          <w:sz w:val="24"/>
          <w:szCs w:val="24"/>
        </w:rPr>
        <w:t xml:space="preserve">Расходы домохозяйств на дополнительное образование и здоровье </w:t>
      </w:r>
      <w:r w:rsidR="0014344C">
        <w:rPr>
          <w:rFonts w:ascii="Times New Roman" w:hAnsi="Times New Roman" w:cs="Times New Roman"/>
          <w:b/>
          <w:bCs/>
          <w:sz w:val="24"/>
          <w:szCs w:val="24"/>
        </w:rPr>
        <w:t xml:space="preserve">ребенка </w:t>
      </w:r>
      <w:r w:rsidR="00382FF5">
        <w:rPr>
          <w:rFonts w:ascii="Times New Roman" w:hAnsi="Times New Roman" w:cs="Times New Roman"/>
          <w:b/>
          <w:bCs/>
          <w:sz w:val="24"/>
          <w:szCs w:val="24"/>
        </w:rPr>
        <w:t xml:space="preserve">10–17 </w:t>
      </w:r>
      <w:r w:rsidR="0014344C">
        <w:rPr>
          <w:rFonts w:ascii="Times New Roman" w:hAnsi="Times New Roman" w:cs="Times New Roman"/>
          <w:b/>
          <w:bCs/>
          <w:sz w:val="24"/>
          <w:szCs w:val="24"/>
        </w:rPr>
        <w:t>лет</w:t>
      </w:r>
      <w:r w:rsidR="004E684C">
        <w:rPr>
          <w:rFonts w:ascii="Times New Roman" w:hAnsi="Times New Roman" w:cs="Times New Roman"/>
          <w:b/>
          <w:bCs/>
          <w:sz w:val="24"/>
          <w:szCs w:val="24"/>
        </w:rPr>
        <w:t xml:space="preserve"> в регионах России</w:t>
      </w:r>
    </w:p>
    <w:p w14:paraId="737D9E67" w14:textId="77777777" w:rsidR="00AF009B" w:rsidRDefault="00AF009B" w:rsidP="00AF009B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8B1FA4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Аннотация</w:t>
      </w:r>
    </w:p>
    <w:p w14:paraId="3532C0DB" w14:textId="1F08871D" w:rsidR="00AF009B" w:rsidRDefault="00AF009B" w:rsidP="00AF009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Исследование </w:t>
      </w:r>
      <w:r w:rsidRPr="001E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основан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о</w:t>
      </w:r>
      <w:r w:rsidRPr="001E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на данных онлайн опроса, проведенного среди родителей, имеющих хотя бы одного ребёнка в возрасте 10–17 лет. Опрос проводился в восьми регионах страны, реализованная выборка составила 115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 115</w:t>
      </w:r>
      <w:r w:rsidRPr="001E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анкет.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Увеличение трат с 10 до 17 лет, в среднем по рассматриваем регионам, составило 12 п.п. на доп. образование и 2 п.п. на здоровье. При чем для девочек, в среднем по регионам, увеличение расходов на доп. образование </w:t>
      </w:r>
      <w:r w:rsidR="00F15D3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 здоровье превышало аналогичный рост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для мальчиков. </w:t>
      </w:r>
      <w:r w:rsidR="00F15D3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С</w:t>
      </w:r>
      <w:r w:rsidR="00382FF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реди рассматриваемых регионов </w:t>
      </w:r>
      <w:r w:rsidR="00F15D3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н</w:t>
      </w:r>
      <w:r w:rsidR="00F15D3F" w:rsidRPr="00382FF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аибольший рост расходов с возрастом ребенка на доп. образование</w:t>
      </w:r>
      <w:r w:rsidR="00F15D3F" w:rsidRPr="00382FF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382FF5" w:rsidRPr="00382FF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наблюдался в Тамбовской области, наименьший – в Калининградской области</w:t>
      </w:r>
      <w:r w:rsidR="00F15D3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</w:t>
      </w:r>
      <w:r w:rsidR="0078086F" w:rsidRPr="0078086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на здоровье</w:t>
      </w:r>
      <w:r w:rsidR="00F15D3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наибольший – в </w:t>
      </w:r>
      <w:r w:rsidR="0078086F" w:rsidRPr="0078086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Ленинградской области, наименьший – в Ульяновской и Калининградской областях.</w:t>
      </w:r>
    </w:p>
    <w:p w14:paraId="771D6E64" w14:textId="77777777" w:rsidR="00AF009B" w:rsidRPr="00E7396C" w:rsidRDefault="00AF009B" w:rsidP="00AF009B">
      <w:pPr>
        <w:spacing w:after="0" w:line="360" w:lineRule="auto"/>
        <w:ind w:firstLine="70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B1FA4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Ключевые слова: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семьи с детьми, расходы на ребенка, регионы России, </w:t>
      </w:r>
      <w:r w:rsidRPr="002C49E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семейная политика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3A485B91" w14:textId="151540BA" w:rsidR="00AF009B" w:rsidRPr="00ED140F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Важным аспектом и составляющим благополучие ребёнка является материальное благополучие его семьи, которое непосредственно оказывает влияние не только на доступ к определенным материальным благам (например, наличие личных вещей и гаджетов), но и на возможность ребёнка получать дополнительное образование, посещать кружки и спортивные занятия, а также качество его питания и состояние здоровья. Материальное состояние семьи, ожидаемо, будет во много определять структуру расходов домохозяйства на ребенка. При этом на материальное состояние семьи может зависеть и от социально-демографических характеристик. В ряде исследований отмечалось, что тип домохозяйства нередко является критерием оценки материального благополучия семей (например, семьи с определенным числом детей [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Архангельский В.Н.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и др.,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2019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], семьи с одним родителем, с разным возрастом детей [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Овчарова Л.Н., Попова Д.О.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 2005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].</w:t>
      </w:r>
      <w:r w:rsidRPr="00ED140F">
        <w:rPr>
          <w:rFonts w:ascii="Calibri" w:eastAsia="Calibri" w:hAnsi="Calibri" w:cs="Times New Roman"/>
          <w:kern w:val="0"/>
          <w14:ligatures w14:val="none"/>
        </w:rPr>
        <w:t xml:space="preserve"> 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Занятость, количество членов домохозяйства и наличие среди них получателей льгот оказываются показательными характеристиками оценки материального положения домохозяйства [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ЮНИСЕФ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 2011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9769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Лежнина Ю.П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., 2014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C7FB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Пасовец Ю.М.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 2015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]. В ряде исследований отмечается, что затраты на детей различаются в зависимости от числа детей в домохозяйстве, а также, что с возрастом ребенка затраты на его воспитание увеличиваются [</w:t>
      </w:r>
      <w:r w:rsidRPr="007B12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Lino M.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2020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  <w:r w:rsidRPr="00BE7F30">
        <w:t xml:space="preserve"> </w:t>
      </w:r>
      <w:r w:rsidRPr="00BE7F3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Claus I.</w:t>
      </w:r>
      <w:r w:rsidRPr="000D30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 др., 2009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].</w:t>
      </w:r>
      <w:r w:rsidRPr="00563F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К</w:t>
      </w:r>
      <w:r w:rsidRPr="00350A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ак отмечается в одной из значимых работ в экономике по детскому благополучию, ранние инвестиции в человеческий капитал повышают продуктивность последующих инвестиций, однако в случае отсутствия последних, ранние </w:t>
      </w:r>
      <w:r w:rsidRPr="00350A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инвестиции не будут продуктивными вовсе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563F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[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Cunha</w:t>
      </w:r>
      <w:r w:rsidRPr="00563F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F</w:t>
      </w:r>
      <w:r w:rsidRPr="00563F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EC6CF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Heckman</w:t>
      </w:r>
      <w:r w:rsidRPr="00EC6CF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J</w:t>
      </w:r>
      <w:r w:rsidRPr="00EC6CF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., 2007</w:t>
      </w:r>
      <w:r w:rsidRPr="00563F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</w:t>
      </w:r>
      <w:r w:rsidRPr="00350A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Данные, полученные в результате более позднего исследования, подтверждают тезис о необходимости инвестиций государства в человеческий капитал, начиная с раннего детства</w:t>
      </w:r>
      <w:r w:rsidRPr="009A3E6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[Conti G., Heckmann J.J.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 2012</w:t>
      </w:r>
      <w:r w:rsidRPr="009A3E6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]</w:t>
      </w:r>
      <w:r w:rsidRPr="00332BE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</w:p>
    <w:p w14:paraId="04EDA47E" w14:textId="77777777" w:rsidR="00AF009B" w:rsidRPr="00ED140F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Исследование основывается на данных, собранных в ходе онлайн опроса родителей детей 10–17 лет. Опрос проводился весной 2022 г. Центром полевых исследований ИНСАП РАНХиГС при поддержке Фонда Тимченко. Опрашивались родители 8 регионов страны – Алтайский край, Калининградская область, Ленинградская область, Республика Башкортостан, Республика Карелия, Тамбовская область, Ульяновская область, ХМАО-Югра. Выборка строилась для каждого региона. Генеральной совокупностью являются родители, имеющие хотя бы одного ребёнка в возрасте 10-17 лет и постоянно проживающие в указанных регионах. Региональная выборка стратифицированная, в качестве страты выбирались муниципальный район и города регионального значения, исключались ЗАТО.</w:t>
      </w:r>
    </w:p>
    <w:p w14:paraId="2BCC2EF2" w14:textId="0900080D" w:rsidR="00AF009B" w:rsidRPr="000D30ED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Реализованная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выборка составила 115115 анкет. Для текущего анализа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были</w:t>
      </w: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75CD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отобраны наблюдения, в которых указан размер домохозяйства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75CD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 расходы хотя бы на одну из трат – дополнительное образование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или здоровье ребенка</w:t>
      </w:r>
      <w:r w:rsidRPr="00175CD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Подвыборка составила 100397 анкет (87% от всей выборки). </w:t>
      </w:r>
    </w:p>
    <w:p w14:paraId="5331C418" w14:textId="1F438AFC" w:rsidR="00AF009B" w:rsidRPr="001E42D1" w:rsidRDefault="00AF009B" w:rsidP="00AF009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10D53">
        <w:rPr>
          <w:rFonts w:ascii="Times New Roman" w:eastAsia="Calibri" w:hAnsi="Times New Roman" w:cs="Times New Roman"/>
          <w:sz w:val="24"/>
          <w:szCs w:val="24"/>
        </w:rPr>
        <w:t xml:space="preserve">Семейные расходы на ребёнка рассматриваются относительно регионального прожиточного минимума. Относительные величины использовались для нивелирования региональных различий при сравнении расходов домохозяйств. </w:t>
      </w:r>
      <w:r w:rsidRPr="001E42D1">
        <w:rPr>
          <w:rFonts w:ascii="Times New Roman" w:hAnsi="Times New Roman" w:cs="Times New Roman"/>
          <w:sz w:val="24"/>
          <w:szCs w:val="24"/>
        </w:rPr>
        <w:t xml:space="preserve">Мы наблюдаем, что с возрастом ребёнка увеличиваются расходы </w:t>
      </w:r>
      <w:r>
        <w:rPr>
          <w:rFonts w:ascii="Times New Roman" w:hAnsi="Times New Roman" w:cs="Times New Roman"/>
          <w:sz w:val="24"/>
          <w:szCs w:val="24"/>
        </w:rPr>
        <w:t>на его дополнительное образование и здоровье</w:t>
      </w:r>
      <w:r w:rsidRPr="001E42D1">
        <w:rPr>
          <w:rFonts w:ascii="Times New Roman" w:hAnsi="Times New Roman" w:cs="Times New Roman"/>
          <w:sz w:val="24"/>
          <w:szCs w:val="24"/>
        </w:rPr>
        <w:t xml:space="preserve">. В частности, при рассмотрении ответов респондентов о тратах на дополнительное образование ребёнка, начиная с 15-летнего возраста ребёнка увеличивается доля ответов о наибольших суммах «примерно 20 тыс. рублей» и «более 20 тыс. рублей» (отношение к региональным прожиточным минимумам 0,54–0,83 и от 1,07 соответственно). Такое увеличение можно объяснить усиленной подготовкой в старших классах к сдаче Единого государственного экзамена и подготовке к поступлению в высшие учебные заведения. </w:t>
      </w:r>
    </w:p>
    <w:p w14:paraId="22245991" w14:textId="2EB30860" w:rsidR="00AF009B" w:rsidRPr="00074D93" w:rsidRDefault="00AF009B" w:rsidP="00E739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этом рост расходов на дополнительное образование девочек и мальчиков различается. Так, в среднем по восьми регионам он составил 14 п.п. для девочек и 10 п.п. для мальчиков. Наибольший рост расходов с возрастом ребенка на доп. образование девочек наблюдался в Тамбовской области – 21 п.п., наименьший – в Калининградской области (3 п.п.). Расходы домохозяйств на дополнительное образование 17-летнего ребенка составили, в среднем, по рассматриваемым регионам 37% от регионального прожиточного минимума. </w:t>
      </w:r>
    </w:p>
    <w:p w14:paraId="70353C83" w14:textId="224D4295" w:rsidR="00AF009B" w:rsidRPr="001E42D1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E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Аналогичная тенденция наблюдается и в расходах на здоровье ребёнка. Однако стоит отметить, что если в случае с расходами на дополнительное образование наблюдалось более </w:t>
      </w:r>
      <w:r w:rsidRPr="001E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равномерное распределение, то расходы на здоровье ребёнка вне зависимости от возраста преимущественно не превышают 5 тыс. рублей в месяц (отношение к прожиточному минимуму 0,27–0,41).</w:t>
      </w:r>
    </w:p>
    <w:p w14:paraId="25A2F68F" w14:textId="57048C69" w:rsidR="00AF009B" w:rsidRDefault="00AF009B" w:rsidP="00AF00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Рост расходов на здоровье девочек и мальчиков также смещен в сторону девочек. Так, в среднем по восьми регионам он составил 3,2 п.п. для девочек и 1,5 п.п. для мальчиков. Наибольший рост расходов с возрастом ребенка на здоровье в Ленинградской области – 5 п.п. (5,8 п.п. на девочек и 3,6 п.п.</w:t>
      </w:r>
      <w:r w:rsidR="005755E2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на мальчиков), наименьший – в Ульяновской и Калининградской областях (1 п.п.). Расходы домохозяйств на здоровье 17-летнего ребенка составили, в среднем, по рассматриваемым регионам 22% от регионального прожиточного минимума. </w:t>
      </w:r>
    </w:p>
    <w:p w14:paraId="06A7196E" w14:textId="77777777" w:rsidR="00AF009B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ED140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Доступ к образованию и хорошее состояние здоровья детей – неотъемлемый вклад в человеческий капитал. В условиях осложнения экономической ситуации на фоне продолжающегося падения доходов населения необходимо обратить особое внимание на поддержку семей с детьми разных возрастов, при чем не только на её материальную составляющую, но и расширение доступа к социальным услугам.</w:t>
      </w:r>
    </w:p>
    <w:p w14:paraId="53874A21" w14:textId="77777777" w:rsidR="00AF009B" w:rsidRPr="00ED140F" w:rsidRDefault="00AF009B" w:rsidP="00AF009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Список литературы:</w:t>
      </w:r>
    </w:p>
    <w:p w14:paraId="0833C489" w14:textId="77777777" w:rsidR="00AF009B" w:rsidRPr="00406874" w:rsidRDefault="00AF009B" w:rsidP="00AF009B">
      <w:pPr>
        <w:numPr>
          <w:ilvl w:val="0"/>
          <w:numId w:val="1"/>
        </w:numPr>
        <w:spacing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Архангельский В.Н., Елизаров В.В., Джанаева Н.Г. Оценка уровня жизни семей с детьми: аналитические возможности обследований Росстата // Уровень жизни населения регионов России. 2019. Том 15. No 1. С. 65–79.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0973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https://doi.org/10.19181/1999-9836-2019-10055</w:t>
      </w:r>
    </w:p>
    <w:p w14:paraId="45076880" w14:textId="77777777" w:rsidR="00AF009B" w:rsidRPr="00406874" w:rsidRDefault="00AF009B" w:rsidP="00AF009B">
      <w:pPr>
        <w:numPr>
          <w:ilvl w:val="0"/>
          <w:numId w:val="1"/>
        </w:numPr>
        <w:spacing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Детский фонд ООН – ЮНИСЕФ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Анализ положения детей в Российской Федерации: на пути к обществу равных возможностей / Под рук. Л. Н. Овчаровой. М.: ЮНИСЕФ-НИСП, 2011.</w:t>
      </w:r>
    </w:p>
    <w:p w14:paraId="4840E133" w14:textId="77777777" w:rsidR="00AF009B" w:rsidRPr="00406874" w:rsidRDefault="00AF009B" w:rsidP="00AF009B">
      <w:pPr>
        <w:numPr>
          <w:ilvl w:val="0"/>
          <w:numId w:val="1"/>
        </w:numPr>
        <w:spacing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Лежнина Ю. П. Социально-демографические особенности в современной России // Социологические исследования. 2014. № 1. С. 20–28.</w:t>
      </w:r>
    </w:p>
    <w:p w14:paraId="7A546D94" w14:textId="77777777" w:rsidR="00AF009B" w:rsidRPr="00406874" w:rsidRDefault="00AF009B" w:rsidP="00AF009B">
      <w:pPr>
        <w:numPr>
          <w:ilvl w:val="0"/>
          <w:numId w:val="1"/>
        </w:numPr>
        <w:spacing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Овчарова Л.Н., Попова Д.О. Детская бедность в России: тревожные тенденции и выбор стратегических действий. Доклад ЮНИСЕФ. М.: ЮНИСЕФ, 2005; Положение детей в Российской Федерации. Итоги социальной политики 1990-х годов и перспективы / Пер. с англ. М.: Изд-во «Весь мир», 2003. 304 с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.</w:t>
      </w:r>
    </w:p>
    <w:p w14:paraId="13FCC313" w14:textId="77777777" w:rsidR="00AF009B" w:rsidRPr="0009736B" w:rsidRDefault="00AF009B" w:rsidP="00AF009B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Пасовец Ю. М. Риски бедности населения в современных российских условиях // Экономические и социальные перемены: факты, тенденции, прогноз. 2015.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 xml:space="preserve">№ 2.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С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. 143–160.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 xml:space="preserve"> </w:t>
      </w:r>
      <w:r w:rsidRPr="0009736B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https://doi.org/10.15838/esc/2015.2.38.9</w:t>
      </w:r>
    </w:p>
    <w:p w14:paraId="62D47090" w14:textId="77777777" w:rsidR="00AF009B" w:rsidRDefault="00AF009B" w:rsidP="00AF009B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 xml:space="preserve">Claus I., Leggett G., Wang X. Costs of raising children. </w:t>
      </w:r>
      <w:r w:rsidRPr="00545F4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2009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https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://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www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nzae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org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nz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wp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content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uploads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/2011/08/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Costs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of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raising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children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NZAE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paper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v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pdf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(дата обращения </w:t>
      </w:r>
      <w:r w:rsidRPr="00545F4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12.01.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202</w:t>
      </w:r>
      <w:r w:rsidRPr="00545F4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).</w:t>
      </w:r>
    </w:p>
    <w:p w14:paraId="0AEF3B27" w14:textId="77777777" w:rsidR="00AF009B" w:rsidRPr="0009736B" w:rsidRDefault="00AF009B" w:rsidP="00AF009B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</w:pPr>
      <w:r w:rsidRPr="0009736B">
        <w:rPr>
          <w:rFonts w:ascii="Times New Roman" w:hAnsi="Times New Roman" w:cs="Times New Roman"/>
          <w:sz w:val="24"/>
          <w:szCs w:val="24"/>
          <w:lang w:val="en-GB"/>
        </w:rPr>
        <w:lastRenderedPageBreak/>
        <w:t>Conti G., Heckmann J.J. The Economics of Child Well-Being//NBER Working Paper, No. 18466, 2012. – Cambridge, MA: National Bureau of Economic Research. – p. 58.</w:t>
      </w:r>
      <w:r w:rsidRPr="0009736B">
        <w:rPr>
          <w:lang w:val="en-GB"/>
        </w:rPr>
        <w:t xml:space="preserve"> </w:t>
      </w:r>
      <w:bookmarkStart w:id="0" w:name="_Hlk156768027"/>
      <w:r w:rsidRPr="0009736B">
        <w:rPr>
          <w:rFonts w:ascii="Times New Roman" w:hAnsi="Times New Roman" w:cs="Times New Roman"/>
          <w:sz w:val="24"/>
          <w:szCs w:val="24"/>
          <w:lang w:val="en-GB"/>
        </w:rPr>
        <w:t>https://doi.org/</w:t>
      </w:r>
      <w:bookmarkEnd w:id="0"/>
      <w:r w:rsidRPr="0009736B">
        <w:rPr>
          <w:rFonts w:ascii="Times New Roman" w:hAnsi="Times New Roman" w:cs="Times New Roman"/>
          <w:sz w:val="24"/>
          <w:szCs w:val="24"/>
          <w:lang w:val="en-GB"/>
        </w:rPr>
        <w:t>10.1007/978-90-481-9063-8_21</w:t>
      </w:r>
    </w:p>
    <w:p w14:paraId="16BCFDCB" w14:textId="77777777" w:rsidR="00AF009B" w:rsidRDefault="00AF009B" w:rsidP="00AF009B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</w:pPr>
      <w:r w:rsidRPr="0009736B">
        <w:rPr>
          <w:rFonts w:ascii="Times New Roman" w:hAnsi="Times New Roman" w:cs="Times New Roman"/>
          <w:sz w:val="24"/>
          <w:szCs w:val="24"/>
          <w:lang w:val="en-GB"/>
        </w:rPr>
        <w:t>Cunha, F, Heckman J. The Technology of Skill Formation//American Economic Review. – 2007. – Vol. 97, Issue 2. – P. 31-47.</w:t>
      </w:r>
      <w:r w:rsidRPr="00D02865">
        <w:rPr>
          <w:rFonts w:ascii="Times New Roman" w:hAnsi="Times New Roman" w:cs="Times New Roman"/>
          <w:sz w:val="24"/>
          <w:szCs w:val="24"/>
          <w:lang w:val="en-GB"/>
        </w:rPr>
        <w:t xml:space="preserve"> https://doi.org/10.1257/aer.97.2.31</w:t>
      </w:r>
    </w:p>
    <w:p w14:paraId="6B61182E" w14:textId="77777777" w:rsidR="00AF009B" w:rsidRPr="00406874" w:rsidRDefault="00AF009B" w:rsidP="00AF009B">
      <w:pPr>
        <w:numPr>
          <w:ilvl w:val="0"/>
          <w:numId w:val="1"/>
        </w:numPr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 xml:space="preserve">Lino M. The Cost of Raising a Child.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2020. 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https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://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www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usda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gov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media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blog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/2017/01/13/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cost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raising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:lang w:val="en-GB"/>
          <w14:ligatures w14:val="none"/>
        </w:rPr>
        <w:t>child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(дата обращения </w:t>
      </w:r>
      <w:r w:rsidRPr="00BE7F3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12.01.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202</w:t>
      </w:r>
      <w:r w:rsidRPr="00BE7F3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40687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).</w:t>
      </w:r>
    </w:p>
    <w:p w14:paraId="740CD46E" w14:textId="77777777" w:rsidR="007F5F40" w:rsidRPr="00BA42ED" w:rsidRDefault="007F5F40" w:rsidP="00AF009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F5F40" w:rsidRPr="00BA42ED" w:rsidSect="00CF2F2C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069D7"/>
    <w:multiLevelType w:val="hybridMultilevel"/>
    <w:tmpl w:val="7A382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0058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815"/>
    <w:rsid w:val="000201BA"/>
    <w:rsid w:val="00020F35"/>
    <w:rsid w:val="000272D2"/>
    <w:rsid w:val="0014344C"/>
    <w:rsid w:val="001B3691"/>
    <w:rsid w:val="00382FF5"/>
    <w:rsid w:val="003C03EE"/>
    <w:rsid w:val="003E1815"/>
    <w:rsid w:val="004E684C"/>
    <w:rsid w:val="005755E2"/>
    <w:rsid w:val="0078086F"/>
    <w:rsid w:val="007F5F40"/>
    <w:rsid w:val="008D78AD"/>
    <w:rsid w:val="00A055DB"/>
    <w:rsid w:val="00AF009B"/>
    <w:rsid w:val="00B0602E"/>
    <w:rsid w:val="00BA42ED"/>
    <w:rsid w:val="00BD5EFC"/>
    <w:rsid w:val="00CB4FE4"/>
    <w:rsid w:val="00CF2F2C"/>
    <w:rsid w:val="00DB171B"/>
    <w:rsid w:val="00E35458"/>
    <w:rsid w:val="00E7396C"/>
    <w:rsid w:val="00F15D3F"/>
    <w:rsid w:val="00FC0066"/>
    <w:rsid w:val="00FE2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22747"/>
  <w15:chartTrackingRefBased/>
  <w15:docId w15:val="{74E560D2-F3D8-4C7D-A6B9-4205ABB01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009B"/>
  </w:style>
  <w:style w:type="paragraph" w:styleId="1">
    <w:name w:val="heading 1"/>
    <w:basedOn w:val="a"/>
    <w:next w:val="a"/>
    <w:link w:val="10"/>
    <w:uiPriority w:val="9"/>
    <w:qFormat/>
    <w:rsid w:val="003E18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18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E18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E18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18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E18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E18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E18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E18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E18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E18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E18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E1815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E1815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E181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E181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E181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E181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E18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3E18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E18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3E18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E18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E1815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3E1815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3E1815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E18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3E1815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3E18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1205</Words>
  <Characters>6873</Characters>
  <Application>Microsoft Office Word</Application>
  <DocSecurity>0</DocSecurity>
  <Lines>57</Lines>
  <Paragraphs>16</Paragraphs>
  <ScaleCrop>false</ScaleCrop>
  <Company/>
  <LinksUpToDate>false</LinksUpToDate>
  <CharactersWithSpaces>8062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Середкина Екатерина Андреевна</dc:creator>
  <cp:keywords/>
  <dc:description/>
  <cp:lastModifiedBy>Середкина Екатерина Андреевна</cp:lastModifiedBy>
  <cp:revision>15</cp:revision>
  <dcterms:created xsi:type="dcterms:W3CDTF">2024-03-13T19:31:00Z</dcterms:created>
  <dcterms:modified xsi:type="dcterms:W3CDTF">2024-03-19T11:06:00Z</dcterms:modified>
</cp:coreProperties>
</file>