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23B7" w:rsidRDefault="00F50800">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УДК </w:t>
      </w:r>
      <w:r w:rsidR="0047359D" w:rsidRPr="0047359D">
        <w:rPr>
          <w:rFonts w:ascii="Times New Roman" w:hAnsi="Times New Roman" w:cs="Times New Roman"/>
          <w:b/>
          <w:sz w:val="24"/>
          <w:szCs w:val="24"/>
        </w:rPr>
        <w:t>332.14</w:t>
      </w:r>
      <w:r w:rsidR="0047359D">
        <w:rPr>
          <w:rFonts w:ascii="Times New Roman" w:hAnsi="Times New Roman" w:cs="Times New Roman"/>
          <w:b/>
          <w:sz w:val="24"/>
          <w:szCs w:val="24"/>
        </w:rPr>
        <w:t xml:space="preserve"> / ББК 65.5</w:t>
      </w:r>
    </w:p>
    <w:p w:rsidR="008023B7" w:rsidRDefault="0047359D">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Захарова В</w:t>
      </w:r>
      <w:r w:rsidR="00F50800">
        <w:rPr>
          <w:rFonts w:ascii="Times New Roman" w:hAnsi="Times New Roman" w:cs="Times New Roman"/>
          <w:b/>
          <w:sz w:val="24"/>
          <w:szCs w:val="24"/>
        </w:rPr>
        <w:t>.</w:t>
      </w:r>
      <w:r>
        <w:rPr>
          <w:rFonts w:ascii="Times New Roman" w:hAnsi="Times New Roman" w:cs="Times New Roman"/>
          <w:b/>
          <w:sz w:val="24"/>
          <w:szCs w:val="24"/>
        </w:rPr>
        <w:t>В.</w:t>
      </w:r>
    </w:p>
    <w:p w:rsidR="008023B7" w:rsidRDefault="00992F64">
      <w:pPr>
        <w:spacing w:after="0" w:line="240" w:lineRule="auto"/>
        <w:jc w:val="center"/>
        <w:rPr>
          <w:rFonts w:ascii="Times New Roman" w:hAnsi="Times New Roman" w:cs="Times New Roman"/>
          <w:b/>
          <w:bCs/>
          <w:sz w:val="24"/>
          <w:szCs w:val="24"/>
        </w:rPr>
      </w:pPr>
      <w:bookmarkStart w:id="0" w:name="_Hlk129337751"/>
      <w:r w:rsidRPr="00992F64">
        <w:rPr>
          <w:rFonts w:ascii="Times New Roman" w:hAnsi="Times New Roman" w:cs="Times New Roman"/>
          <w:b/>
          <w:bCs/>
          <w:sz w:val="24"/>
          <w:szCs w:val="24"/>
        </w:rPr>
        <w:t xml:space="preserve">РАЗВИТИЕ ЭКСПОРТА ВЫСШЕГО ОБРАЗОВАНИЯ </w:t>
      </w:r>
      <w:r>
        <w:rPr>
          <w:rFonts w:ascii="Times New Roman" w:hAnsi="Times New Roman" w:cs="Times New Roman"/>
          <w:b/>
          <w:bCs/>
          <w:sz w:val="24"/>
          <w:szCs w:val="24"/>
        </w:rPr>
        <w:t>РОССИЙСКОЙ ФЕДЕРАЦИИ</w:t>
      </w:r>
      <w:r w:rsidRPr="00992F64">
        <w:rPr>
          <w:rFonts w:ascii="Times New Roman" w:hAnsi="Times New Roman" w:cs="Times New Roman"/>
          <w:b/>
          <w:bCs/>
          <w:sz w:val="24"/>
          <w:szCs w:val="24"/>
        </w:rPr>
        <w:t xml:space="preserve"> КАК ЭЛЕМЕНТ ПОЗИЦИОНИРОВАНИЯ СТРАНЫ В МНОГОПОЛЯРНОМ МИРЕ</w:t>
      </w:r>
    </w:p>
    <w:p w:rsidR="008023B7" w:rsidRDefault="008023B7">
      <w:pPr>
        <w:spacing w:after="0" w:line="240" w:lineRule="auto"/>
        <w:ind w:firstLine="709"/>
        <w:jc w:val="both"/>
        <w:rPr>
          <w:rFonts w:ascii="Times New Roman" w:hAnsi="Times New Roman" w:cs="Times New Roman"/>
          <w:b/>
          <w:bCs/>
          <w:iCs/>
          <w:sz w:val="24"/>
          <w:szCs w:val="24"/>
        </w:rPr>
      </w:pPr>
    </w:p>
    <w:p w:rsidR="008023B7" w:rsidRPr="00A15395" w:rsidRDefault="00F50800">
      <w:pPr>
        <w:spacing w:after="0" w:line="240" w:lineRule="auto"/>
        <w:ind w:firstLine="709"/>
        <w:jc w:val="both"/>
        <w:rPr>
          <w:rFonts w:ascii="Times New Roman" w:hAnsi="Times New Roman" w:cs="Times New Roman"/>
          <w:sz w:val="24"/>
          <w:szCs w:val="24"/>
        </w:rPr>
      </w:pPr>
      <w:r w:rsidRPr="00A15395">
        <w:rPr>
          <w:rFonts w:ascii="Times New Roman" w:hAnsi="Times New Roman" w:cs="Times New Roman"/>
          <w:b/>
          <w:bCs/>
          <w:sz w:val="24"/>
          <w:szCs w:val="24"/>
        </w:rPr>
        <w:t>Аннотация.</w:t>
      </w:r>
      <w:r w:rsidRPr="00A15395">
        <w:rPr>
          <w:rFonts w:ascii="Times New Roman" w:hAnsi="Times New Roman" w:cs="Times New Roman"/>
          <w:bCs/>
          <w:sz w:val="24"/>
          <w:szCs w:val="24"/>
        </w:rPr>
        <w:t xml:space="preserve"> В настоящем исследовании</w:t>
      </w:r>
      <w:r w:rsidRPr="00A15395">
        <w:rPr>
          <w:rFonts w:ascii="Times New Roman" w:hAnsi="Times New Roman" w:cs="Times New Roman"/>
          <w:sz w:val="24"/>
          <w:szCs w:val="24"/>
        </w:rPr>
        <w:t xml:space="preserve"> представлены </w:t>
      </w:r>
      <w:r w:rsidR="00A15395" w:rsidRPr="00A15395">
        <w:rPr>
          <w:rFonts w:ascii="Times New Roman" w:hAnsi="Times New Roman" w:cs="Times New Roman"/>
          <w:sz w:val="24"/>
          <w:szCs w:val="24"/>
        </w:rPr>
        <w:t>тренды развития экспорта высшего образования Российской Федерации</w:t>
      </w:r>
      <w:r w:rsidRPr="00A15395">
        <w:rPr>
          <w:rFonts w:ascii="Times New Roman" w:hAnsi="Times New Roman" w:cs="Times New Roman"/>
          <w:sz w:val="24"/>
          <w:szCs w:val="24"/>
        </w:rPr>
        <w:t>, проанализирова</w:t>
      </w:r>
      <w:r w:rsidR="00A15395" w:rsidRPr="00A15395">
        <w:rPr>
          <w:rFonts w:ascii="Times New Roman" w:hAnsi="Times New Roman" w:cs="Times New Roman"/>
          <w:sz w:val="24"/>
          <w:szCs w:val="24"/>
        </w:rPr>
        <w:t>но перспективное направление развития – привлечение студентов из стран БРИКС</w:t>
      </w:r>
      <w:r w:rsidRPr="00A15395">
        <w:rPr>
          <w:rFonts w:ascii="Times New Roman" w:hAnsi="Times New Roman" w:cs="Times New Roman"/>
          <w:sz w:val="24"/>
          <w:szCs w:val="24"/>
        </w:rPr>
        <w:t xml:space="preserve">. </w:t>
      </w:r>
      <w:r w:rsidR="00A15395" w:rsidRPr="00A15395">
        <w:rPr>
          <w:rFonts w:ascii="Times New Roman" w:hAnsi="Times New Roman" w:cs="Times New Roman"/>
          <w:sz w:val="24"/>
          <w:szCs w:val="24"/>
        </w:rPr>
        <w:t>Кроме экономических выгод, обучение иностранных студентов в России имеет стратегическое значение – через подготовку интеллектуальной элиты и распространение русского языка и культуры повышается международное влияние России в мировом сообществе. Также привлечение талантливой молодежи позволит сократить Российской Федерации дефицит кадров высшей квалификации.</w:t>
      </w:r>
    </w:p>
    <w:p w:rsidR="008023B7" w:rsidRPr="00A15395" w:rsidRDefault="00F50800">
      <w:pPr>
        <w:spacing w:after="0" w:line="240" w:lineRule="auto"/>
        <w:ind w:firstLine="709"/>
        <w:jc w:val="both"/>
        <w:rPr>
          <w:rFonts w:ascii="Times New Roman" w:hAnsi="Times New Roman" w:cs="Times New Roman"/>
          <w:bCs/>
          <w:sz w:val="24"/>
          <w:szCs w:val="24"/>
        </w:rPr>
      </w:pPr>
      <w:r w:rsidRPr="00A15395">
        <w:rPr>
          <w:rFonts w:ascii="Times New Roman" w:hAnsi="Times New Roman" w:cs="Times New Roman"/>
          <w:b/>
          <w:bCs/>
          <w:sz w:val="24"/>
          <w:szCs w:val="24"/>
        </w:rPr>
        <w:t>Ключевые слова:</w:t>
      </w:r>
      <w:r w:rsidRPr="00A15395">
        <w:rPr>
          <w:rFonts w:ascii="Times New Roman" w:hAnsi="Times New Roman" w:cs="Times New Roman"/>
          <w:bCs/>
          <w:sz w:val="24"/>
          <w:szCs w:val="24"/>
        </w:rPr>
        <w:t xml:space="preserve"> </w:t>
      </w:r>
      <w:r w:rsidR="00A15395" w:rsidRPr="00A15395">
        <w:rPr>
          <w:rFonts w:ascii="Times New Roman" w:hAnsi="Times New Roman" w:cs="Times New Roman"/>
          <w:bCs/>
          <w:sz w:val="24"/>
          <w:szCs w:val="24"/>
        </w:rPr>
        <w:t>экспорт высшего образования</w:t>
      </w:r>
      <w:r w:rsidRPr="00A15395">
        <w:rPr>
          <w:rFonts w:ascii="Times New Roman" w:hAnsi="Times New Roman" w:cs="Times New Roman"/>
          <w:bCs/>
          <w:sz w:val="24"/>
          <w:szCs w:val="24"/>
        </w:rPr>
        <w:t xml:space="preserve">, </w:t>
      </w:r>
      <w:r w:rsidR="00A15395" w:rsidRPr="00A15395">
        <w:rPr>
          <w:rFonts w:ascii="Times New Roman" w:hAnsi="Times New Roman" w:cs="Times New Roman"/>
          <w:bCs/>
          <w:sz w:val="24"/>
          <w:szCs w:val="24"/>
        </w:rPr>
        <w:t>БРИКС, рейтинг университетов</w:t>
      </w:r>
      <w:r w:rsidRPr="00A15395">
        <w:rPr>
          <w:rFonts w:ascii="Times New Roman" w:hAnsi="Times New Roman" w:cs="Times New Roman"/>
          <w:bCs/>
          <w:sz w:val="24"/>
          <w:szCs w:val="24"/>
        </w:rPr>
        <w:t>.</w:t>
      </w:r>
    </w:p>
    <w:bookmarkEnd w:id="0"/>
    <w:p w:rsidR="008023B7" w:rsidRPr="00A15395" w:rsidRDefault="008023B7">
      <w:pPr>
        <w:spacing w:after="0" w:line="240" w:lineRule="auto"/>
        <w:jc w:val="both"/>
        <w:rPr>
          <w:rFonts w:ascii="Times New Roman" w:hAnsi="Times New Roman" w:cs="Times New Roman"/>
          <w:bCs/>
          <w:iCs/>
          <w:sz w:val="24"/>
          <w:szCs w:val="24"/>
        </w:rPr>
      </w:pPr>
    </w:p>
    <w:p w:rsidR="0047359D" w:rsidRDefault="00ED1842">
      <w:pPr>
        <w:spacing w:after="0" w:line="240" w:lineRule="auto"/>
        <w:ind w:firstLine="709"/>
        <w:jc w:val="both"/>
        <w:rPr>
          <w:rFonts w:ascii="Times New Roman" w:hAnsi="Times New Roman" w:cs="Times New Roman"/>
          <w:sz w:val="24"/>
          <w:szCs w:val="24"/>
        </w:rPr>
      </w:pPr>
      <w:r w:rsidRPr="00ED1842">
        <w:rPr>
          <w:rFonts w:ascii="Times New Roman" w:hAnsi="Times New Roman" w:cs="Times New Roman"/>
          <w:sz w:val="24"/>
          <w:szCs w:val="24"/>
        </w:rPr>
        <w:t>В настоящее время экономические стратегии большинства стран под влиянием ускоряющегося прогресса изменились в пользу научно-технического и инновационного развития, и, соответственно, повышается значимость высокотехнологичного</w:t>
      </w:r>
      <w:r w:rsidRPr="00ED1842" w:rsidDel="0000227D">
        <w:rPr>
          <w:rFonts w:ascii="Times New Roman" w:hAnsi="Times New Roman" w:cs="Times New Roman"/>
          <w:sz w:val="24"/>
          <w:szCs w:val="24"/>
        </w:rPr>
        <w:t xml:space="preserve"> </w:t>
      </w:r>
      <w:r w:rsidRPr="00ED1842">
        <w:rPr>
          <w:rFonts w:ascii="Times New Roman" w:hAnsi="Times New Roman" w:cs="Times New Roman"/>
          <w:sz w:val="24"/>
          <w:szCs w:val="24"/>
        </w:rPr>
        <w:t>экспорта</w:t>
      </w:r>
      <w:r w:rsidR="00A15395">
        <w:rPr>
          <w:rFonts w:ascii="Times New Roman" w:hAnsi="Times New Roman" w:cs="Times New Roman"/>
          <w:sz w:val="24"/>
          <w:szCs w:val="24"/>
        </w:rPr>
        <w:t xml:space="preserve">. </w:t>
      </w:r>
      <w:r w:rsidRPr="00ED1842">
        <w:rPr>
          <w:rFonts w:ascii="Times New Roman" w:hAnsi="Times New Roman" w:cs="Times New Roman"/>
          <w:sz w:val="24"/>
          <w:szCs w:val="24"/>
        </w:rPr>
        <w:t xml:space="preserve">Однако </w:t>
      </w:r>
      <w:r>
        <w:rPr>
          <w:rFonts w:ascii="Times New Roman" w:hAnsi="Times New Roman" w:cs="Times New Roman"/>
          <w:sz w:val="24"/>
          <w:szCs w:val="24"/>
        </w:rPr>
        <w:t>ф</w:t>
      </w:r>
      <w:r w:rsidRPr="00ED1842">
        <w:rPr>
          <w:rFonts w:ascii="Times New Roman" w:hAnsi="Times New Roman" w:cs="Times New Roman"/>
          <w:sz w:val="24"/>
          <w:szCs w:val="24"/>
        </w:rPr>
        <w:t xml:space="preserve">актор внешнеэкономической коммуникации необходимо рассматривать шире, чем как непосредственно импорт и экспорт высокотехнологичной </w:t>
      </w:r>
      <w:r w:rsidRPr="00A15395">
        <w:rPr>
          <w:rFonts w:ascii="Times New Roman" w:hAnsi="Times New Roman" w:cs="Times New Roman"/>
          <w:sz w:val="24"/>
          <w:szCs w:val="24"/>
        </w:rPr>
        <w:t>продукции</w:t>
      </w:r>
      <w:r w:rsidR="00A15395" w:rsidRPr="00A15395">
        <w:rPr>
          <w:rFonts w:ascii="Times New Roman" w:hAnsi="Times New Roman" w:cs="Times New Roman"/>
          <w:sz w:val="24"/>
        </w:rPr>
        <w:t xml:space="preserve"> </w:t>
      </w:r>
      <w:r w:rsidRPr="00A15395">
        <w:rPr>
          <w:rFonts w:ascii="Times New Roman" w:hAnsi="Times New Roman" w:cs="Times New Roman"/>
          <w:sz w:val="24"/>
        </w:rPr>
        <w:t>[</w:t>
      </w:r>
      <w:r w:rsidR="001339FC" w:rsidRPr="00A15395">
        <w:rPr>
          <w:rFonts w:ascii="Times New Roman" w:hAnsi="Times New Roman" w:cs="Times New Roman"/>
          <w:sz w:val="24"/>
        </w:rPr>
        <w:t>1</w:t>
      </w:r>
      <w:r w:rsidRPr="0000227D">
        <w:rPr>
          <w:sz w:val="24"/>
        </w:rPr>
        <w:t xml:space="preserve">]. </w:t>
      </w:r>
      <w:r w:rsidRPr="00ED1842">
        <w:rPr>
          <w:rFonts w:ascii="Times New Roman" w:hAnsi="Times New Roman" w:cs="Times New Roman"/>
          <w:sz w:val="24"/>
          <w:szCs w:val="24"/>
        </w:rPr>
        <w:t>Экономика знаний нуждается в конкурентоспособных специалистах для обеспечения условий создания высокотехнологичной продукции</w:t>
      </w:r>
      <w:r>
        <w:rPr>
          <w:rFonts w:ascii="Times New Roman" w:hAnsi="Times New Roman" w:cs="Times New Roman"/>
          <w:sz w:val="24"/>
          <w:szCs w:val="24"/>
        </w:rPr>
        <w:t>, также доходы от экспорта образования могут вносить вклад в национальную экономику</w:t>
      </w:r>
      <w:r w:rsidRPr="00ED1842">
        <w:rPr>
          <w:rFonts w:ascii="Times New Roman" w:hAnsi="Times New Roman" w:cs="Times New Roman"/>
          <w:sz w:val="24"/>
          <w:szCs w:val="24"/>
        </w:rPr>
        <w:t xml:space="preserve">. </w:t>
      </w:r>
      <w:r w:rsidR="0047359D" w:rsidRPr="0047359D">
        <w:rPr>
          <w:rFonts w:ascii="Times New Roman" w:hAnsi="Times New Roman" w:cs="Times New Roman"/>
          <w:sz w:val="24"/>
          <w:szCs w:val="24"/>
        </w:rPr>
        <w:t xml:space="preserve">От способности сферы образования, и в первую очередь, профессионального и высшего, подготовить </w:t>
      </w:r>
      <w:r>
        <w:rPr>
          <w:rFonts w:ascii="Times New Roman" w:hAnsi="Times New Roman" w:cs="Times New Roman"/>
          <w:sz w:val="24"/>
          <w:szCs w:val="24"/>
        </w:rPr>
        <w:t xml:space="preserve">конкурентоспособные </w:t>
      </w:r>
      <w:r w:rsidR="0047359D" w:rsidRPr="0047359D">
        <w:rPr>
          <w:rFonts w:ascii="Times New Roman" w:hAnsi="Times New Roman" w:cs="Times New Roman"/>
          <w:sz w:val="24"/>
          <w:szCs w:val="24"/>
        </w:rPr>
        <w:t>кадры, зависит то, останется ли страна на периферии развития или войдет в число стран-лидеров</w:t>
      </w:r>
      <w:r w:rsidR="0047359D">
        <w:rPr>
          <w:rFonts w:ascii="Times New Roman" w:hAnsi="Times New Roman" w:cs="Times New Roman"/>
          <w:sz w:val="24"/>
          <w:szCs w:val="24"/>
        </w:rPr>
        <w:t xml:space="preserve"> </w:t>
      </w:r>
      <w:r w:rsidR="0047359D" w:rsidRPr="0047359D">
        <w:rPr>
          <w:rFonts w:ascii="Times New Roman" w:hAnsi="Times New Roman" w:cs="Times New Roman"/>
          <w:sz w:val="24"/>
          <w:szCs w:val="24"/>
        </w:rPr>
        <w:t>[</w:t>
      </w:r>
      <w:r w:rsidR="001339FC" w:rsidRPr="001339FC">
        <w:rPr>
          <w:rFonts w:ascii="Times New Roman" w:hAnsi="Times New Roman" w:cs="Times New Roman"/>
          <w:sz w:val="24"/>
          <w:szCs w:val="24"/>
        </w:rPr>
        <w:t>2]</w:t>
      </w:r>
      <w:r w:rsidR="0047359D" w:rsidRPr="0047359D">
        <w:rPr>
          <w:rFonts w:ascii="Times New Roman" w:hAnsi="Times New Roman" w:cs="Times New Roman"/>
          <w:sz w:val="24"/>
          <w:szCs w:val="24"/>
        </w:rPr>
        <w:t>.</w:t>
      </w:r>
    </w:p>
    <w:p w:rsidR="00F50800" w:rsidRDefault="00ED1842" w:rsidP="00F50800">
      <w:pPr>
        <w:spacing w:after="0" w:line="240" w:lineRule="auto"/>
        <w:ind w:firstLine="709"/>
        <w:jc w:val="both"/>
        <w:rPr>
          <w:rFonts w:ascii="Times New Roman" w:hAnsi="Times New Roman" w:cs="Times New Roman"/>
          <w:sz w:val="24"/>
          <w:szCs w:val="24"/>
        </w:rPr>
      </w:pPr>
      <w:r w:rsidRPr="00ED1842">
        <w:rPr>
          <w:rFonts w:ascii="Times New Roman" w:hAnsi="Times New Roman" w:cs="Times New Roman"/>
          <w:sz w:val="24"/>
          <w:szCs w:val="24"/>
        </w:rPr>
        <w:t xml:space="preserve">Целью данной статьи стало исследование </w:t>
      </w:r>
      <w:r w:rsidR="00F50800">
        <w:rPr>
          <w:rFonts w:ascii="Times New Roman" w:hAnsi="Times New Roman" w:cs="Times New Roman"/>
          <w:sz w:val="24"/>
          <w:szCs w:val="24"/>
        </w:rPr>
        <w:t>возможных направлений развития</w:t>
      </w:r>
      <w:r w:rsidRPr="00ED1842">
        <w:rPr>
          <w:rFonts w:ascii="Times New Roman" w:hAnsi="Times New Roman" w:cs="Times New Roman"/>
          <w:sz w:val="24"/>
          <w:szCs w:val="24"/>
        </w:rPr>
        <w:t xml:space="preserve"> экспорта высшего образования Российской Федерации. </w:t>
      </w:r>
      <w:r w:rsidR="00F50800" w:rsidRPr="00F50800">
        <w:rPr>
          <w:rFonts w:ascii="Times New Roman" w:hAnsi="Times New Roman" w:cs="Times New Roman"/>
          <w:sz w:val="24"/>
          <w:szCs w:val="24"/>
        </w:rPr>
        <w:t>Информационно-эмпирическая база исследования</w:t>
      </w:r>
      <w:r w:rsidR="00D45834" w:rsidRPr="00F50800">
        <w:rPr>
          <w:rFonts w:ascii="Times New Roman" w:hAnsi="Times New Roman" w:cs="Times New Roman"/>
          <w:sz w:val="24"/>
          <w:szCs w:val="24"/>
        </w:rPr>
        <w:t xml:space="preserve"> </w:t>
      </w:r>
      <w:r w:rsidR="00F50800" w:rsidRPr="00F50800">
        <w:rPr>
          <w:rFonts w:ascii="Times New Roman" w:hAnsi="Times New Roman" w:cs="Times New Roman"/>
          <w:sz w:val="24"/>
          <w:szCs w:val="24"/>
        </w:rPr>
        <w:t xml:space="preserve">включает в себя официальные данные Федеральной службы государственной статистики (Росстат), а также данные </w:t>
      </w:r>
      <w:r w:rsidRPr="00F50800">
        <w:rPr>
          <w:rFonts w:ascii="Times New Roman" w:hAnsi="Times New Roman" w:cs="Times New Roman"/>
          <w:sz w:val="24"/>
          <w:szCs w:val="24"/>
        </w:rPr>
        <w:t>официального портала</w:t>
      </w:r>
      <w:r w:rsidR="00F50800" w:rsidRPr="00F50800">
        <w:rPr>
          <w:rFonts w:ascii="Times New Roman" w:hAnsi="Times New Roman" w:cs="Times New Roman"/>
          <w:sz w:val="24"/>
          <w:szCs w:val="24"/>
        </w:rPr>
        <w:t xml:space="preserve"> </w:t>
      </w:r>
      <w:r w:rsidRPr="00F50800">
        <w:rPr>
          <w:rFonts w:ascii="Times New Roman" w:hAnsi="Times New Roman" w:cs="Times New Roman"/>
          <w:sz w:val="24"/>
          <w:szCs w:val="24"/>
        </w:rPr>
        <w:t>Минобрнауки России</w:t>
      </w:r>
      <w:r w:rsidR="00F50800" w:rsidRPr="00F50800">
        <w:rPr>
          <w:rFonts w:ascii="Times New Roman" w:hAnsi="Times New Roman" w:cs="Times New Roman"/>
          <w:sz w:val="24"/>
          <w:szCs w:val="24"/>
        </w:rPr>
        <w:t>.</w:t>
      </w:r>
      <w:r w:rsidR="00F50800">
        <w:rPr>
          <w:rFonts w:ascii="Times New Roman" w:hAnsi="Times New Roman" w:cs="Times New Roman"/>
          <w:sz w:val="24"/>
          <w:szCs w:val="24"/>
        </w:rPr>
        <w:t xml:space="preserve"> </w:t>
      </w:r>
    </w:p>
    <w:p w:rsidR="008023B7" w:rsidRPr="00D45834" w:rsidRDefault="00D45834" w:rsidP="00D4583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Характеризуя рост показателей </w:t>
      </w:r>
      <w:r w:rsidRPr="00ED1842">
        <w:rPr>
          <w:rFonts w:ascii="Times New Roman" w:hAnsi="Times New Roman" w:cs="Times New Roman"/>
          <w:sz w:val="24"/>
          <w:szCs w:val="24"/>
        </w:rPr>
        <w:t>экспорта высшего образования Российской Федерации</w:t>
      </w:r>
      <w:r>
        <w:rPr>
          <w:rFonts w:ascii="Times New Roman" w:hAnsi="Times New Roman" w:cs="Times New Roman"/>
          <w:sz w:val="24"/>
          <w:szCs w:val="24"/>
        </w:rPr>
        <w:t xml:space="preserve">, </w:t>
      </w:r>
      <w:r w:rsidR="00F50800" w:rsidRPr="00D45834">
        <w:rPr>
          <w:rFonts w:ascii="Times New Roman" w:hAnsi="Times New Roman" w:cs="Times New Roman"/>
          <w:sz w:val="24"/>
          <w:szCs w:val="24"/>
        </w:rPr>
        <w:t>обратимся к данным официальной статистики, которые свидетельствуют</w:t>
      </w:r>
      <w:r w:rsidRPr="00D45834">
        <w:rPr>
          <w:rFonts w:ascii="Times New Roman" w:hAnsi="Times New Roman" w:cs="Times New Roman"/>
          <w:sz w:val="24"/>
          <w:szCs w:val="24"/>
        </w:rPr>
        <w:t xml:space="preserve"> о стабильном росте числа иностранных студентов, несмотря на вводимые санкционные ограничения (рис. 1)</w:t>
      </w:r>
      <w:r w:rsidR="00F50800" w:rsidRPr="00D45834">
        <w:rPr>
          <w:rFonts w:ascii="Times New Roman" w:hAnsi="Times New Roman" w:cs="Times New Roman"/>
          <w:sz w:val="24"/>
          <w:szCs w:val="24"/>
        </w:rPr>
        <w:t xml:space="preserve">. </w:t>
      </w:r>
      <w:r w:rsidR="00F50800">
        <w:rPr>
          <w:rFonts w:ascii="Times New Roman" w:hAnsi="Times New Roman" w:cs="Times New Roman"/>
          <w:sz w:val="24"/>
          <w:szCs w:val="24"/>
        </w:rPr>
        <w:t xml:space="preserve">По данным </w:t>
      </w:r>
      <w:r w:rsidR="00F50800" w:rsidRPr="00F50800">
        <w:rPr>
          <w:rFonts w:ascii="Times New Roman" w:hAnsi="Times New Roman" w:cs="Times New Roman"/>
          <w:sz w:val="24"/>
          <w:szCs w:val="24"/>
        </w:rPr>
        <w:t xml:space="preserve">приоритетного проекта </w:t>
      </w:r>
      <w:r w:rsidR="00F50800">
        <w:rPr>
          <w:rFonts w:ascii="Times New Roman" w:hAnsi="Times New Roman" w:cs="Times New Roman"/>
          <w:sz w:val="24"/>
          <w:szCs w:val="24"/>
        </w:rPr>
        <w:t>«</w:t>
      </w:r>
      <w:r w:rsidR="00F50800" w:rsidRPr="00F50800">
        <w:rPr>
          <w:rFonts w:ascii="Times New Roman" w:hAnsi="Times New Roman" w:cs="Times New Roman"/>
          <w:sz w:val="24"/>
          <w:szCs w:val="24"/>
        </w:rPr>
        <w:t>Развитие экспортного потенциала</w:t>
      </w:r>
      <w:r w:rsidR="00F50800">
        <w:rPr>
          <w:rFonts w:ascii="Times New Roman" w:hAnsi="Times New Roman" w:cs="Times New Roman"/>
          <w:sz w:val="24"/>
          <w:szCs w:val="24"/>
        </w:rPr>
        <w:t xml:space="preserve"> российской системы образования», </w:t>
      </w:r>
      <w:r w:rsidR="00E33954" w:rsidRPr="00E33954">
        <w:rPr>
          <w:rFonts w:ascii="Times New Roman" w:hAnsi="Times New Roman" w:cs="Times New Roman"/>
          <w:sz w:val="24"/>
          <w:szCs w:val="24"/>
        </w:rPr>
        <w:t xml:space="preserve">в 2016 году выручка от российского образовательного экспорта составляла порядка 70 млрд. рублей в год, </w:t>
      </w:r>
      <w:r w:rsidR="00F50800">
        <w:rPr>
          <w:rFonts w:ascii="Times New Roman" w:hAnsi="Times New Roman" w:cs="Times New Roman"/>
          <w:sz w:val="24"/>
          <w:szCs w:val="24"/>
        </w:rPr>
        <w:t>а</w:t>
      </w:r>
      <w:r w:rsidR="00E33954" w:rsidRPr="00E33954">
        <w:rPr>
          <w:rFonts w:ascii="Times New Roman" w:hAnsi="Times New Roman" w:cs="Times New Roman"/>
          <w:sz w:val="24"/>
          <w:szCs w:val="24"/>
        </w:rPr>
        <w:t xml:space="preserve"> к 2025 году данный показатель планируется увеличить до 370 </w:t>
      </w:r>
      <w:r w:rsidR="00F50800">
        <w:rPr>
          <w:rFonts w:ascii="Times New Roman" w:hAnsi="Times New Roman" w:cs="Times New Roman"/>
          <w:sz w:val="24"/>
          <w:szCs w:val="24"/>
        </w:rPr>
        <w:t>млрд. рублей</w:t>
      </w:r>
      <w:r w:rsidR="00E33954" w:rsidRPr="00E33954">
        <w:rPr>
          <w:rFonts w:ascii="Times New Roman" w:hAnsi="Times New Roman" w:cs="Times New Roman"/>
          <w:sz w:val="24"/>
          <w:szCs w:val="24"/>
        </w:rPr>
        <w:t>.</w:t>
      </w:r>
    </w:p>
    <w:p w:rsidR="00D45834" w:rsidRPr="00A15395" w:rsidRDefault="00D45834" w:rsidP="00D45834">
      <w:pPr>
        <w:spacing w:after="0" w:line="240" w:lineRule="auto"/>
        <w:ind w:firstLine="709"/>
        <w:jc w:val="center"/>
        <w:rPr>
          <w:rFonts w:ascii="Times New Roman" w:hAnsi="Times New Roman" w:cs="Times New Roman"/>
          <w:sz w:val="24"/>
          <w:szCs w:val="24"/>
        </w:rPr>
      </w:pPr>
      <w:r>
        <w:rPr>
          <w:noProof/>
          <w:lang w:eastAsia="ru-RU"/>
        </w:rPr>
        <w:drawing>
          <wp:inline distT="0" distB="0" distL="0" distR="0" wp14:anchorId="5A405D58" wp14:editId="17B5BA85">
            <wp:extent cx="3680271" cy="2040396"/>
            <wp:effectExtent l="0" t="0" r="15875" b="1714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45834" w:rsidRDefault="00D45834" w:rsidP="00D45834">
      <w:pPr>
        <w:spacing w:after="0" w:line="240" w:lineRule="auto"/>
        <w:jc w:val="center"/>
        <w:rPr>
          <w:rFonts w:ascii="Times New Roman" w:hAnsi="Times New Roman" w:cs="Times New Roman"/>
          <w:bCs/>
          <w:iCs/>
          <w:sz w:val="24"/>
          <w:szCs w:val="24"/>
        </w:rPr>
      </w:pPr>
      <w:r w:rsidRPr="00A15395">
        <w:rPr>
          <w:rFonts w:ascii="Times New Roman" w:hAnsi="Times New Roman" w:cs="Times New Roman"/>
          <w:sz w:val="24"/>
          <w:szCs w:val="24"/>
        </w:rPr>
        <w:t xml:space="preserve">Рис. 1. </w:t>
      </w:r>
      <w:r w:rsidRPr="00A15395">
        <w:rPr>
          <w:rFonts w:ascii="Times New Roman" w:hAnsi="Times New Roman" w:cs="Times New Roman"/>
          <w:bCs/>
          <w:iCs/>
          <w:sz w:val="24"/>
          <w:szCs w:val="24"/>
        </w:rPr>
        <w:t>Удельный вес численности иностранных студентов в общей численности студентов</w:t>
      </w:r>
      <w:r w:rsidRPr="00D45834">
        <w:rPr>
          <w:rFonts w:ascii="Times New Roman" w:hAnsi="Times New Roman" w:cs="Times New Roman"/>
          <w:bCs/>
          <w:iCs/>
          <w:sz w:val="24"/>
          <w:szCs w:val="24"/>
        </w:rPr>
        <w:t xml:space="preserve">, процентов </w:t>
      </w:r>
    </w:p>
    <w:p w:rsidR="00D45834" w:rsidRPr="00D45834" w:rsidRDefault="00D45834" w:rsidP="00D45834">
      <w:pPr>
        <w:spacing w:after="0" w:line="240" w:lineRule="auto"/>
        <w:jc w:val="center"/>
        <w:rPr>
          <w:rFonts w:ascii="Times New Roman" w:hAnsi="Times New Roman" w:cs="Times New Roman"/>
          <w:sz w:val="24"/>
          <w:szCs w:val="24"/>
        </w:rPr>
      </w:pPr>
      <w:r w:rsidRPr="00E33954">
        <w:rPr>
          <w:rFonts w:ascii="Times New Roman" w:hAnsi="Times New Roman" w:cs="Times New Roman"/>
          <w:sz w:val="24"/>
          <w:szCs w:val="24"/>
        </w:rPr>
        <w:t xml:space="preserve">Источник: </w:t>
      </w:r>
      <w:r w:rsidR="00E33954" w:rsidRPr="00E33954">
        <w:rPr>
          <w:rFonts w:ascii="Times New Roman" w:hAnsi="Times New Roman" w:cs="Times New Roman"/>
          <w:sz w:val="24"/>
          <w:szCs w:val="24"/>
        </w:rPr>
        <w:t>Российский статистический ежегодник. 2023: Стат.сб./Росстат. – Р76 М., 2023 – 701 с.</w:t>
      </w:r>
    </w:p>
    <w:p w:rsidR="00D45834" w:rsidRPr="00E33954" w:rsidRDefault="00D45834" w:rsidP="00D45834">
      <w:pPr>
        <w:spacing w:after="0" w:line="240" w:lineRule="auto"/>
        <w:ind w:firstLine="709"/>
        <w:jc w:val="center"/>
        <w:rPr>
          <w:rFonts w:ascii="Times New Roman" w:hAnsi="Times New Roman" w:cs="Times New Roman"/>
          <w:sz w:val="24"/>
          <w:szCs w:val="24"/>
        </w:rPr>
      </w:pPr>
    </w:p>
    <w:p w:rsidR="00E33954" w:rsidRDefault="00E33954" w:rsidP="00F50800">
      <w:pPr>
        <w:pStyle w:val="afe"/>
        <w:spacing w:before="0" w:beforeAutospacing="0" w:after="0" w:afterAutospacing="0" w:line="288" w:lineRule="atLeast"/>
        <w:ind w:firstLine="540"/>
        <w:jc w:val="both"/>
      </w:pPr>
      <w:r w:rsidRPr="00E33954">
        <w:lastRenderedPageBreak/>
        <w:t xml:space="preserve">Российское </w:t>
      </w:r>
      <w:r>
        <w:t xml:space="preserve">высшее </w:t>
      </w:r>
      <w:r w:rsidRPr="00E33954">
        <w:t xml:space="preserve">образование </w:t>
      </w:r>
      <w:r>
        <w:t xml:space="preserve">может быть интересно </w:t>
      </w:r>
      <w:r w:rsidRPr="00F50800">
        <w:rPr>
          <w:rFonts w:eastAsiaTheme="minorHAnsi"/>
          <w:lang w:val="ru-RU" w:eastAsia="en-US"/>
        </w:rPr>
        <w:t xml:space="preserve">иностранным студентам в связи с тем, что обучение </w:t>
      </w:r>
      <w:r w:rsidR="00F50800">
        <w:rPr>
          <w:rFonts w:eastAsiaTheme="minorHAnsi"/>
          <w:lang w:val="ru-RU" w:eastAsia="en-US"/>
        </w:rPr>
        <w:t xml:space="preserve">в России носит </w:t>
      </w:r>
      <w:r w:rsidRPr="00F50800">
        <w:rPr>
          <w:rFonts w:eastAsiaTheme="minorHAnsi"/>
          <w:lang w:val="ru-RU" w:eastAsia="en-US"/>
        </w:rPr>
        <w:t xml:space="preserve">фундаментальный характер, в </w:t>
      </w:r>
      <w:r w:rsidR="00F50800">
        <w:rPr>
          <w:rFonts w:eastAsiaTheme="minorHAnsi"/>
          <w:lang w:val="ru-RU" w:eastAsia="en-US"/>
        </w:rPr>
        <w:t>стране</w:t>
      </w:r>
      <w:r w:rsidRPr="00F50800">
        <w:rPr>
          <w:rFonts w:eastAsiaTheme="minorHAnsi"/>
          <w:lang w:val="ru-RU" w:eastAsia="en-US"/>
        </w:rPr>
        <w:t xml:space="preserve"> развита инфраструктура ВУЗов, имеющих высокий не только образовательный, но и научный потенциал, а также широкий выбор специальностей</w:t>
      </w:r>
      <w:r w:rsidR="00A15395">
        <w:rPr>
          <w:rFonts w:eastAsiaTheme="minorHAnsi"/>
          <w:lang w:val="ru-RU" w:eastAsia="en-US"/>
        </w:rPr>
        <w:t xml:space="preserve"> (в</w:t>
      </w:r>
      <w:r w:rsidR="00A15395" w:rsidRPr="00F50800">
        <w:rPr>
          <w:rFonts w:eastAsiaTheme="minorHAnsi"/>
          <w:lang w:val="ru-RU" w:eastAsia="en-US"/>
        </w:rPr>
        <w:t xml:space="preserve"> тройку направлений профессиональной подготовки, лидирующих по количеству иностранных студентов, входят инженерно-технические специальности </w:t>
      </w:r>
      <w:r w:rsidR="00A15395">
        <w:rPr>
          <w:rFonts w:eastAsiaTheme="minorHAnsi"/>
          <w:lang w:val="ru-RU" w:eastAsia="en-US"/>
        </w:rPr>
        <w:t>(21%)</w:t>
      </w:r>
      <w:r w:rsidR="00A15395" w:rsidRPr="00F50800">
        <w:rPr>
          <w:rFonts w:eastAsiaTheme="minorHAnsi"/>
          <w:lang w:val="ru-RU" w:eastAsia="en-US"/>
        </w:rPr>
        <w:t xml:space="preserve">, здравоохранение </w:t>
      </w:r>
      <w:r w:rsidR="00A15395">
        <w:rPr>
          <w:rFonts w:eastAsiaTheme="minorHAnsi"/>
          <w:lang w:val="ru-RU" w:eastAsia="en-US"/>
        </w:rPr>
        <w:t>(17%)</w:t>
      </w:r>
      <w:r w:rsidR="00A15395" w:rsidRPr="00F50800">
        <w:rPr>
          <w:rFonts w:eastAsiaTheme="minorHAnsi"/>
          <w:lang w:val="ru-RU" w:eastAsia="en-US"/>
        </w:rPr>
        <w:t xml:space="preserve">, экономика и управление </w:t>
      </w:r>
      <w:r w:rsidR="00A15395">
        <w:rPr>
          <w:rFonts w:eastAsiaTheme="minorHAnsi"/>
          <w:lang w:val="ru-RU" w:eastAsia="en-US"/>
        </w:rPr>
        <w:t>(15%)</w:t>
      </w:r>
      <w:r w:rsidRPr="00F50800">
        <w:rPr>
          <w:rFonts w:eastAsiaTheme="minorHAnsi"/>
          <w:lang w:val="ru-RU" w:eastAsia="en-US"/>
        </w:rPr>
        <w:t>, доступные цены на образование и проживание.</w:t>
      </w:r>
      <w:r w:rsidR="00F50800">
        <w:t xml:space="preserve"> </w:t>
      </w:r>
      <w:r>
        <w:t>В России развита транспортная инфраструктура, что делает доступными для иностранных студентов не только столичные университеты, но и университеты по всей стране</w:t>
      </w:r>
      <w:r w:rsidRPr="00E33954">
        <w:t> [</w:t>
      </w:r>
      <w:r w:rsidR="001339FC" w:rsidRPr="001339FC">
        <w:rPr>
          <w:lang w:val="ru-RU"/>
        </w:rPr>
        <w:t>3</w:t>
      </w:r>
      <w:r w:rsidRPr="00E33954">
        <w:t>].</w:t>
      </w:r>
      <w:r w:rsidR="00F50800">
        <w:t xml:space="preserve"> Помимо материальных </w:t>
      </w:r>
      <w:r w:rsidR="00F50800">
        <w:rPr>
          <w:lang w:val="ru-RU"/>
        </w:rPr>
        <w:t>важно</w:t>
      </w:r>
      <w:r w:rsidRPr="00E33954">
        <w:t xml:space="preserve"> выделить и нематериальные аспекты:</w:t>
      </w:r>
      <w:r>
        <w:t xml:space="preserve"> наличие туристических маршрутов (в том числе </w:t>
      </w:r>
      <w:r w:rsidR="00F50800">
        <w:rPr>
          <w:lang w:val="ru-RU"/>
        </w:rPr>
        <w:t xml:space="preserve">по </w:t>
      </w:r>
      <w:r>
        <w:t>программ</w:t>
      </w:r>
      <w:r w:rsidR="00F50800">
        <w:rPr>
          <w:lang w:val="ru-RU"/>
        </w:rPr>
        <w:t>е</w:t>
      </w:r>
      <w:r>
        <w:t xml:space="preserve"> студтуризма, запущенн</w:t>
      </w:r>
      <w:r w:rsidR="00F50800">
        <w:rPr>
          <w:lang w:val="ru-RU"/>
        </w:rPr>
        <w:t>ой</w:t>
      </w:r>
      <w:r>
        <w:t xml:space="preserve"> в 2021 году), </w:t>
      </w:r>
      <w:r w:rsidRPr="00E33954">
        <w:t>адаптационных и культурных программ [</w:t>
      </w:r>
      <w:r w:rsidR="001339FC">
        <w:rPr>
          <w:lang w:val="ru-RU"/>
        </w:rPr>
        <w:t>4</w:t>
      </w:r>
      <w:r w:rsidR="00F70604">
        <w:t>]</w:t>
      </w:r>
    </w:p>
    <w:p w:rsidR="00F70604" w:rsidRDefault="00F70604" w:rsidP="00F50800">
      <w:pPr>
        <w:pStyle w:val="afe"/>
        <w:spacing w:before="0" w:beforeAutospacing="0" w:after="0" w:afterAutospacing="0" w:line="288" w:lineRule="atLeast"/>
        <w:ind w:firstLine="540"/>
        <w:jc w:val="both"/>
        <w:rPr>
          <w:lang w:val="ru-RU"/>
        </w:rPr>
      </w:pPr>
      <w:r w:rsidRPr="00F70604">
        <w:t>Экспорт образования может стать инструментом для решения важной задачи преодоления барьеров на пути привлечения в Россию талантливой молодежи из-за рубежа для учебы и последующего трудоустройства иностранных граждан – выпускников российских вузов в российские компании.</w:t>
      </w:r>
      <w:r>
        <w:rPr>
          <w:lang w:val="ru-RU"/>
        </w:rPr>
        <w:t xml:space="preserve"> По статистике, около 8% выпускников остаются жить и работать в России.</w:t>
      </w:r>
    </w:p>
    <w:p w:rsidR="00B000DF" w:rsidRPr="00B000DF" w:rsidRDefault="00B000DF" w:rsidP="00B000DF">
      <w:pPr>
        <w:pStyle w:val="afe"/>
        <w:spacing w:before="0" w:beforeAutospacing="0" w:after="0" w:afterAutospacing="0" w:line="288" w:lineRule="atLeast"/>
        <w:ind w:firstLine="540"/>
        <w:jc w:val="both"/>
        <w:rPr>
          <w:b/>
        </w:rPr>
      </w:pPr>
      <w:r>
        <w:rPr>
          <w:lang w:val="ru-RU"/>
        </w:rPr>
        <w:t xml:space="preserve">Если говорить о </w:t>
      </w:r>
      <w:r w:rsidR="00A15395">
        <w:rPr>
          <w:lang w:val="ru-RU"/>
        </w:rPr>
        <w:t>географии</w:t>
      </w:r>
      <w:r>
        <w:rPr>
          <w:lang w:val="ru-RU"/>
        </w:rPr>
        <w:t xml:space="preserve"> экспорта образования, то </w:t>
      </w:r>
      <w:r w:rsidRPr="00B000DF">
        <w:t>в Россию</w:t>
      </w:r>
      <w:r>
        <w:rPr>
          <w:lang w:val="ru-RU"/>
        </w:rPr>
        <w:t xml:space="preserve"> направляют</w:t>
      </w:r>
      <w:r>
        <w:t xml:space="preserve"> наибольшее число студентов </w:t>
      </w:r>
      <w:r w:rsidRPr="00B000DF">
        <w:t>Казахстан</w:t>
      </w:r>
      <w:r w:rsidR="00A15395">
        <w:rPr>
          <w:lang w:val="ru-RU"/>
        </w:rPr>
        <w:t>а</w:t>
      </w:r>
      <w:r w:rsidRPr="00B000DF">
        <w:t>, Таджики</w:t>
      </w:r>
      <w:r w:rsidR="00DB1148">
        <w:t>стан</w:t>
      </w:r>
      <w:r w:rsidR="00A15395">
        <w:rPr>
          <w:lang w:val="ru-RU"/>
        </w:rPr>
        <w:t>а</w:t>
      </w:r>
      <w:r w:rsidR="00DB1148">
        <w:t>, Туркменистан</w:t>
      </w:r>
      <w:r w:rsidR="00A15395">
        <w:rPr>
          <w:lang w:val="ru-RU"/>
        </w:rPr>
        <w:t>а</w:t>
      </w:r>
      <w:r w:rsidR="00DB1148">
        <w:t xml:space="preserve"> и Узбекистан</w:t>
      </w:r>
      <w:r w:rsidR="00A15395">
        <w:rPr>
          <w:lang w:val="ru-RU"/>
        </w:rPr>
        <w:t>а</w:t>
      </w:r>
      <w:r w:rsidRPr="00B000DF">
        <w:t>. На</w:t>
      </w:r>
      <w:r>
        <w:rPr>
          <w:lang w:val="ru-RU"/>
        </w:rPr>
        <w:t xml:space="preserve"> эти страны</w:t>
      </w:r>
      <w:r w:rsidRPr="00B000DF">
        <w:t xml:space="preserve"> приходится больше половины всех учащихся </w:t>
      </w:r>
      <w:r w:rsidR="00A15395">
        <w:rPr>
          <w:lang w:val="ru-RU"/>
        </w:rPr>
        <w:t>университетов</w:t>
      </w:r>
      <w:r w:rsidRPr="00B000DF">
        <w:t xml:space="preserve"> с</w:t>
      </w:r>
      <w:r w:rsidR="00A15395">
        <w:rPr>
          <w:lang w:val="ru-RU"/>
        </w:rPr>
        <w:t xml:space="preserve"> </w:t>
      </w:r>
      <w:r w:rsidRPr="00B000DF">
        <w:t xml:space="preserve">иностранным </w:t>
      </w:r>
      <w:r w:rsidRPr="00B000DF">
        <w:rPr>
          <w:lang w:val="ru-RU"/>
        </w:rPr>
        <w:t>гражданством.</w:t>
      </w:r>
      <w:r>
        <w:rPr>
          <w:lang w:val="ru-RU"/>
        </w:rPr>
        <w:t xml:space="preserve"> </w:t>
      </w:r>
      <w:r w:rsidRPr="00B000DF">
        <w:rPr>
          <w:lang w:val="ru-RU"/>
        </w:rPr>
        <w:t>Из</w:t>
      </w:r>
      <w:r>
        <w:rPr>
          <w:lang w:val="ru-RU"/>
        </w:rPr>
        <w:t xml:space="preserve"> </w:t>
      </w:r>
      <w:r w:rsidRPr="00B000DF">
        <w:rPr>
          <w:lang w:val="ru-RU"/>
        </w:rPr>
        <w:t>стран дальнего зарубежья больше всего студентов в</w:t>
      </w:r>
      <w:r>
        <w:rPr>
          <w:lang w:val="ru-RU"/>
        </w:rPr>
        <w:t xml:space="preserve"> </w:t>
      </w:r>
      <w:r w:rsidRPr="00B000DF">
        <w:rPr>
          <w:lang w:val="ru-RU"/>
        </w:rPr>
        <w:t xml:space="preserve">Россию </w:t>
      </w:r>
      <w:r>
        <w:rPr>
          <w:lang w:val="ru-RU"/>
        </w:rPr>
        <w:t xml:space="preserve">направляют Китай и </w:t>
      </w:r>
      <w:r w:rsidRPr="00B000DF">
        <w:rPr>
          <w:lang w:val="ru-RU"/>
        </w:rPr>
        <w:t>Индия: 37</w:t>
      </w:r>
      <w:r>
        <w:rPr>
          <w:lang w:val="ru-RU"/>
        </w:rPr>
        <w:t xml:space="preserve">, 19,6 </w:t>
      </w:r>
      <w:r w:rsidRPr="00B000DF">
        <w:rPr>
          <w:lang w:val="ru-RU"/>
        </w:rPr>
        <w:t>тысяч человек соответственно</w:t>
      </w:r>
      <w:r>
        <w:rPr>
          <w:lang w:val="ru-RU"/>
        </w:rPr>
        <w:t xml:space="preserve"> в 2022/2023 учебном году</w:t>
      </w:r>
      <w:r w:rsidRPr="00B000DF">
        <w:rPr>
          <w:lang w:val="ru-RU"/>
        </w:rPr>
        <w:t>.</w:t>
      </w:r>
      <w:r w:rsidR="00DB1148">
        <w:rPr>
          <w:lang w:val="ru-RU"/>
        </w:rPr>
        <w:t xml:space="preserve"> Перспективным направлением развития экспорта российского образования является </w:t>
      </w:r>
      <w:bookmarkStart w:id="1" w:name="_GoBack"/>
      <w:r w:rsidR="00DB1148">
        <w:rPr>
          <w:lang w:val="ru-RU"/>
        </w:rPr>
        <w:t>БРИКС</w:t>
      </w:r>
      <w:bookmarkEnd w:id="1"/>
      <w:r w:rsidR="00DB1148">
        <w:rPr>
          <w:lang w:val="ru-RU"/>
        </w:rPr>
        <w:t xml:space="preserve">. </w:t>
      </w:r>
      <w:r w:rsidRPr="00B000DF">
        <w:t>В начале 2024</w:t>
      </w:r>
      <w:r w:rsidR="00A15395">
        <w:rPr>
          <w:lang w:val="ru-RU"/>
        </w:rPr>
        <w:t> года</w:t>
      </w:r>
      <w:r w:rsidRPr="00B000DF">
        <w:t xml:space="preserve"> Российская Федерация</w:t>
      </w:r>
      <w:r w:rsidRPr="00B000DF">
        <w:rPr>
          <w:lang w:val="ru-RU"/>
        </w:rPr>
        <w:t xml:space="preserve"> приняла эстафету председательства в БРИКС, которое согласно одобренному в августе</w:t>
      </w:r>
      <w:r>
        <w:rPr>
          <w:lang w:val="ru-RU"/>
        </w:rPr>
        <w:t xml:space="preserve"> 2023 года</w:t>
      </w:r>
      <w:r w:rsidRPr="00B000DF">
        <w:rPr>
          <w:lang w:val="ru-RU"/>
        </w:rPr>
        <w:t xml:space="preserve"> решению теперь включает </w:t>
      </w:r>
      <w:r w:rsidR="00FD51DC">
        <w:rPr>
          <w:lang w:val="ru-RU"/>
        </w:rPr>
        <w:t>9</w:t>
      </w:r>
      <w:r w:rsidRPr="00B000DF">
        <w:rPr>
          <w:lang w:val="ru-RU"/>
        </w:rPr>
        <w:t xml:space="preserve"> государств</w:t>
      </w:r>
      <w:r>
        <w:rPr>
          <w:lang w:val="ru-RU"/>
        </w:rPr>
        <w:t>: к</w:t>
      </w:r>
      <w:r w:rsidRPr="00B000DF">
        <w:rPr>
          <w:lang w:val="ru-RU"/>
        </w:rPr>
        <w:t xml:space="preserve"> </w:t>
      </w:r>
      <w:r>
        <w:rPr>
          <w:lang w:val="ru-RU"/>
        </w:rPr>
        <w:t xml:space="preserve">объединению </w:t>
      </w:r>
      <w:r w:rsidRPr="00B000DF">
        <w:rPr>
          <w:lang w:val="ru-RU"/>
        </w:rPr>
        <w:t>Бразилии, России, Индии, Китая и ЮАР присоединились в качестве полноправных членов Египет, Иран,</w:t>
      </w:r>
      <w:r w:rsidR="00FD51DC">
        <w:rPr>
          <w:lang w:val="ru-RU"/>
        </w:rPr>
        <w:t xml:space="preserve"> Объединенные Арабские Эмираты </w:t>
      </w:r>
      <w:r w:rsidRPr="00B000DF">
        <w:rPr>
          <w:lang w:val="ru-RU"/>
        </w:rPr>
        <w:t>и Эфиопия.</w:t>
      </w:r>
      <w:r w:rsidR="00DB1148">
        <w:rPr>
          <w:lang w:val="ru-RU"/>
        </w:rPr>
        <w:t xml:space="preserve"> </w:t>
      </w:r>
    </w:p>
    <w:p w:rsidR="00DB1148" w:rsidRPr="00DB1148" w:rsidRDefault="00DB1148" w:rsidP="00DB1148">
      <w:pPr>
        <w:pStyle w:val="afe"/>
        <w:spacing w:before="0" w:beforeAutospacing="0" w:after="0" w:afterAutospacing="0" w:line="288" w:lineRule="atLeast"/>
        <w:ind w:firstLine="540"/>
        <w:jc w:val="both"/>
        <w:rPr>
          <w:lang w:val="ru-RU"/>
        </w:rPr>
      </w:pPr>
      <w:r w:rsidRPr="00DB1148">
        <w:rPr>
          <w:lang w:val="ru-RU"/>
        </w:rPr>
        <w:t xml:space="preserve">Для разработки дальнейшей стратегии </w:t>
      </w:r>
      <w:r>
        <w:rPr>
          <w:lang w:val="ru-RU"/>
        </w:rPr>
        <w:t xml:space="preserve">развития экспорта высшего образования </w:t>
      </w:r>
      <w:r w:rsidRPr="00DB1148">
        <w:rPr>
          <w:lang w:val="ru-RU"/>
        </w:rPr>
        <w:t xml:space="preserve">целесообразно провести комплексный анализ их </w:t>
      </w:r>
      <w:r>
        <w:rPr>
          <w:lang w:val="ru-RU"/>
        </w:rPr>
        <w:t>образовательного</w:t>
      </w:r>
      <w:r w:rsidRPr="00DB1148">
        <w:rPr>
          <w:lang w:val="ru-RU"/>
        </w:rPr>
        <w:t xml:space="preserve"> потенциала и инвестиционной привлекательности. В качестве начального этапа данного анализа обратимся к Global Innovation Index (таблица </w:t>
      </w:r>
      <w:r>
        <w:rPr>
          <w:lang w:val="ru-RU"/>
        </w:rPr>
        <w:t>1</w:t>
      </w:r>
      <w:r w:rsidRPr="00DB1148">
        <w:rPr>
          <w:lang w:val="ru-RU"/>
        </w:rPr>
        <w:t>).</w:t>
      </w:r>
      <w:r>
        <w:rPr>
          <w:lang w:val="ru-RU"/>
        </w:rPr>
        <w:t xml:space="preserve"> В связи с невысоким охватом высшим образованием населения Китая, Индии, Бразилии, ЮАР, Египта и Эфиопии данное направление развития экспорта российского образования является перспективным.</w:t>
      </w:r>
    </w:p>
    <w:p w:rsidR="008023B7" w:rsidRPr="00DB1148" w:rsidRDefault="00F50800">
      <w:pPr>
        <w:spacing w:after="0" w:line="240" w:lineRule="auto"/>
        <w:jc w:val="right"/>
        <w:rPr>
          <w:rFonts w:ascii="Times New Roman" w:hAnsi="Times New Roman" w:cs="Times New Roman"/>
          <w:b/>
          <w:bCs/>
          <w:sz w:val="24"/>
          <w:szCs w:val="24"/>
        </w:rPr>
      </w:pPr>
      <w:r w:rsidRPr="00DB1148">
        <w:rPr>
          <w:rFonts w:ascii="Times New Roman" w:hAnsi="Times New Roman" w:cs="Times New Roman"/>
          <w:bCs/>
          <w:sz w:val="24"/>
          <w:szCs w:val="24"/>
        </w:rPr>
        <w:t>Таблица</w:t>
      </w:r>
      <w:r w:rsidRPr="00DB1148">
        <w:rPr>
          <w:rFonts w:ascii="Times New Roman" w:hAnsi="Times New Roman" w:cs="Times New Roman"/>
          <w:b/>
          <w:bCs/>
          <w:sz w:val="24"/>
          <w:szCs w:val="24"/>
        </w:rPr>
        <w:t xml:space="preserve"> </w:t>
      </w:r>
      <w:r w:rsidRPr="00DB1148">
        <w:rPr>
          <w:rFonts w:ascii="Times New Roman" w:hAnsi="Times New Roman" w:cs="Times New Roman"/>
          <w:bCs/>
          <w:sz w:val="24"/>
          <w:szCs w:val="24"/>
        </w:rPr>
        <w:t>1</w:t>
      </w:r>
    </w:p>
    <w:p w:rsidR="00E33954" w:rsidRPr="007B7649" w:rsidRDefault="00E33954" w:rsidP="00DB1148">
      <w:pPr>
        <w:pStyle w:val="afe"/>
        <w:shd w:val="clear" w:color="auto" w:fill="FFFFFF"/>
        <w:spacing w:before="0" w:beforeAutospacing="0" w:after="0" w:afterAutospacing="0"/>
        <w:jc w:val="center"/>
      </w:pPr>
      <w:r w:rsidRPr="00DB1148">
        <w:t xml:space="preserve">Основные показатели стан БРИКС в сфере исследований и разработок, а также высшего </w:t>
      </w:r>
      <w:r w:rsidRPr="007B7649">
        <w:t>образования</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41"/>
        <w:gridCol w:w="2592"/>
        <w:gridCol w:w="2856"/>
        <w:gridCol w:w="1839"/>
      </w:tblGrid>
      <w:tr w:rsidR="00DB1148" w:rsidRPr="009C4877" w:rsidTr="00DB1148">
        <w:tc>
          <w:tcPr>
            <w:tcW w:w="1216" w:type="pct"/>
            <w:vAlign w:val="center"/>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Страна</w:t>
            </w:r>
          </w:p>
        </w:tc>
        <w:tc>
          <w:tcPr>
            <w:tcW w:w="1346" w:type="pct"/>
            <w:vAlign w:val="center"/>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Расходы на образование, % ВВП</w:t>
            </w:r>
          </w:p>
        </w:tc>
        <w:tc>
          <w:tcPr>
            <w:tcW w:w="1483" w:type="pct"/>
            <w:vAlign w:val="center"/>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Охват высшим образованием, %</w:t>
            </w:r>
          </w:p>
        </w:tc>
        <w:tc>
          <w:tcPr>
            <w:tcW w:w="955" w:type="pct"/>
            <w:vAlign w:val="center"/>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Валовые расходы на НИОКР, % ВВП</w:t>
            </w:r>
          </w:p>
        </w:tc>
      </w:tr>
      <w:tr w:rsidR="00DB1148" w:rsidRPr="009C4877" w:rsidTr="00DB1148">
        <w:tc>
          <w:tcPr>
            <w:tcW w:w="1216"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Китай</w:t>
            </w:r>
          </w:p>
        </w:tc>
        <w:tc>
          <w:tcPr>
            <w:tcW w:w="1346"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3,5</w:t>
            </w:r>
          </w:p>
        </w:tc>
        <w:tc>
          <w:tcPr>
            <w:tcW w:w="1483"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63,6</w:t>
            </w:r>
          </w:p>
        </w:tc>
        <w:tc>
          <w:tcPr>
            <w:tcW w:w="955"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2,4</w:t>
            </w:r>
          </w:p>
        </w:tc>
      </w:tr>
      <w:tr w:rsidR="00DB1148" w:rsidRPr="009C4877" w:rsidTr="00DB1148">
        <w:trPr>
          <w:trHeight w:val="64"/>
        </w:trPr>
        <w:tc>
          <w:tcPr>
            <w:tcW w:w="1216"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ОАЭ</w:t>
            </w:r>
          </w:p>
        </w:tc>
        <w:tc>
          <w:tcPr>
            <w:tcW w:w="1346"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3,9</w:t>
            </w:r>
          </w:p>
        </w:tc>
        <w:tc>
          <w:tcPr>
            <w:tcW w:w="1483"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55,3</w:t>
            </w:r>
          </w:p>
        </w:tc>
        <w:tc>
          <w:tcPr>
            <w:tcW w:w="955"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1,5</w:t>
            </w:r>
          </w:p>
        </w:tc>
      </w:tr>
      <w:tr w:rsidR="00DB1148" w:rsidRPr="009C4877" w:rsidTr="00DB1148">
        <w:trPr>
          <w:trHeight w:val="64"/>
        </w:trPr>
        <w:tc>
          <w:tcPr>
            <w:tcW w:w="1216"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Индия</w:t>
            </w:r>
          </w:p>
        </w:tc>
        <w:tc>
          <w:tcPr>
            <w:tcW w:w="1346"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4,6</w:t>
            </w:r>
          </w:p>
        </w:tc>
        <w:tc>
          <w:tcPr>
            <w:tcW w:w="1483"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32,1</w:t>
            </w:r>
          </w:p>
        </w:tc>
        <w:tc>
          <w:tcPr>
            <w:tcW w:w="955"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0,6</w:t>
            </w:r>
          </w:p>
        </w:tc>
      </w:tr>
      <w:tr w:rsidR="00DB1148" w:rsidRPr="009C4877" w:rsidTr="00DB1148">
        <w:tc>
          <w:tcPr>
            <w:tcW w:w="1216"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Бразилия</w:t>
            </w:r>
          </w:p>
        </w:tc>
        <w:tc>
          <w:tcPr>
            <w:tcW w:w="1346"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6,0</w:t>
            </w:r>
          </w:p>
        </w:tc>
        <w:tc>
          <w:tcPr>
            <w:tcW w:w="1483"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54,6</w:t>
            </w:r>
          </w:p>
        </w:tc>
        <w:tc>
          <w:tcPr>
            <w:tcW w:w="955"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1,2</w:t>
            </w:r>
          </w:p>
        </w:tc>
      </w:tr>
      <w:tr w:rsidR="00DB1148" w:rsidRPr="009C4877" w:rsidTr="00DB1148">
        <w:trPr>
          <w:trHeight w:val="166"/>
        </w:trPr>
        <w:tc>
          <w:tcPr>
            <w:tcW w:w="1216"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Россия</w:t>
            </w:r>
          </w:p>
        </w:tc>
        <w:tc>
          <w:tcPr>
            <w:tcW w:w="1346"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3,5</w:t>
            </w:r>
          </w:p>
        </w:tc>
        <w:tc>
          <w:tcPr>
            <w:tcW w:w="1483"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86,4</w:t>
            </w:r>
          </w:p>
        </w:tc>
        <w:tc>
          <w:tcPr>
            <w:tcW w:w="955"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1,1</w:t>
            </w:r>
          </w:p>
        </w:tc>
      </w:tr>
      <w:tr w:rsidR="00DB1148" w:rsidRPr="009C4877" w:rsidTr="00DB1148">
        <w:tc>
          <w:tcPr>
            <w:tcW w:w="1216"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ЮАР</w:t>
            </w:r>
          </w:p>
        </w:tc>
        <w:tc>
          <w:tcPr>
            <w:tcW w:w="1346"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6,6</w:t>
            </w:r>
          </w:p>
        </w:tc>
        <w:tc>
          <w:tcPr>
            <w:tcW w:w="1483"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24,2</w:t>
            </w:r>
          </w:p>
        </w:tc>
        <w:tc>
          <w:tcPr>
            <w:tcW w:w="955"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0,7</w:t>
            </w:r>
          </w:p>
        </w:tc>
      </w:tr>
      <w:tr w:rsidR="00DB1148" w:rsidRPr="009C4877" w:rsidTr="00DB1148">
        <w:tc>
          <w:tcPr>
            <w:tcW w:w="1216"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Иран</w:t>
            </w:r>
          </w:p>
        </w:tc>
        <w:tc>
          <w:tcPr>
            <w:tcW w:w="1346"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3,2</w:t>
            </w:r>
          </w:p>
        </w:tc>
        <w:tc>
          <w:tcPr>
            <w:tcW w:w="1483"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58,2</w:t>
            </w:r>
          </w:p>
        </w:tc>
        <w:tc>
          <w:tcPr>
            <w:tcW w:w="955"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0,8</w:t>
            </w:r>
          </w:p>
        </w:tc>
      </w:tr>
      <w:tr w:rsidR="00DB1148" w:rsidRPr="009C4877" w:rsidTr="00DB1148">
        <w:tc>
          <w:tcPr>
            <w:tcW w:w="1216"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Египет</w:t>
            </w:r>
          </w:p>
        </w:tc>
        <w:tc>
          <w:tcPr>
            <w:tcW w:w="1346"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3,9</w:t>
            </w:r>
          </w:p>
        </w:tc>
        <w:tc>
          <w:tcPr>
            <w:tcW w:w="1483"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42,7</w:t>
            </w:r>
          </w:p>
        </w:tc>
        <w:tc>
          <w:tcPr>
            <w:tcW w:w="955"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1,0</w:t>
            </w:r>
          </w:p>
        </w:tc>
      </w:tr>
      <w:tr w:rsidR="00DB1148" w:rsidRPr="009C4877" w:rsidTr="00DB1148">
        <w:tc>
          <w:tcPr>
            <w:tcW w:w="1216"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Эфиопия</w:t>
            </w:r>
          </w:p>
        </w:tc>
        <w:tc>
          <w:tcPr>
            <w:tcW w:w="1346"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3,7</w:t>
            </w:r>
          </w:p>
        </w:tc>
        <w:tc>
          <w:tcPr>
            <w:tcW w:w="1483"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10,4</w:t>
            </w:r>
          </w:p>
        </w:tc>
        <w:tc>
          <w:tcPr>
            <w:tcW w:w="955" w:type="pct"/>
          </w:tcPr>
          <w:p w:rsidR="00DB1148" w:rsidRPr="00E33954" w:rsidRDefault="00DB1148" w:rsidP="00E33954">
            <w:pPr>
              <w:spacing w:after="0" w:line="240" w:lineRule="auto"/>
              <w:jc w:val="center"/>
              <w:rPr>
                <w:rFonts w:ascii="Times New Roman" w:hAnsi="Times New Roman" w:cs="Times New Roman"/>
                <w:sz w:val="18"/>
                <w:szCs w:val="18"/>
              </w:rPr>
            </w:pPr>
            <w:r w:rsidRPr="00E33954">
              <w:rPr>
                <w:rFonts w:ascii="Times New Roman" w:hAnsi="Times New Roman" w:cs="Times New Roman"/>
                <w:sz w:val="18"/>
                <w:szCs w:val="18"/>
              </w:rPr>
              <w:t>0,3</w:t>
            </w:r>
          </w:p>
        </w:tc>
      </w:tr>
      <w:tr w:rsidR="00DB1148" w:rsidRPr="00FD51DC" w:rsidTr="00DB1148">
        <w:tc>
          <w:tcPr>
            <w:tcW w:w="5000" w:type="pct"/>
            <w:gridSpan w:val="4"/>
          </w:tcPr>
          <w:p w:rsidR="00DB1148" w:rsidRPr="00DB1148" w:rsidRDefault="00DB1148" w:rsidP="00DB1148">
            <w:pPr>
              <w:spacing w:after="0" w:line="240" w:lineRule="auto"/>
              <w:jc w:val="center"/>
              <w:rPr>
                <w:rFonts w:ascii="Times New Roman" w:hAnsi="Times New Roman" w:cs="Times New Roman"/>
                <w:sz w:val="18"/>
                <w:szCs w:val="18"/>
                <w:lang w:val="en-US"/>
              </w:rPr>
            </w:pPr>
            <w:r w:rsidRPr="00E33954">
              <w:rPr>
                <w:rFonts w:ascii="Times New Roman" w:hAnsi="Times New Roman" w:cs="Times New Roman"/>
                <w:bCs/>
                <w:sz w:val="18"/>
                <w:szCs w:val="18"/>
              </w:rPr>
              <w:t>Источник</w:t>
            </w:r>
            <w:r w:rsidRPr="00DB1148">
              <w:rPr>
                <w:rFonts w:ascii="Times New Roman" w:hAnsi="Times New Roman" w:cs="Times New Roman"/>
                <w:bCs/>
                <w:sz w:val="18"/>
                <w:szCs w:val="18"/>
                <w:lang w:val="en-US"/>
              </w:rPr>
              <w:t xml:space="preserve">: Global Innovation Index </w:t>
            </w:r>
            <w:r w:rsidRPr="00E33954">
              <w:rPr>
                <w:rFonts w:ascii="Times New Roman" w:hAnsi="Times New Roman" w:cs="Times New Roman"/>
                <w:bCs/>
                <w:sz w:val="18"/>
                <w:szCs w:val="18"/>
              </w:rPr>
              <w:t>за</w:t>
            </w:r>
            <w:r w:rsidRPr="00DB1148">
              <w:rPr>
                <w:rFonts w:ascii="Times New Roman" w:hAnsi="Times New Roman" w:cs="Times New Roman"/>
                <w:bCs/>
                <w:sz w:val="18"/>
                <w:szCs w:val="18"/>
                <w:lang w:val="en-US"/>
              </w:rPr>
              <w:t xml:space="preserve"> 2023 // World Intellectual Property Organization. – URL: https://www.globalinnovationindex.org/Home (</w:t>
            </w:r>
            <w:r w:rsidRPr="00E33954">
              <w:rPr>
                <w:rFonts w:ascii="Times New Roman" w:hAnsi="Times New Roman" w:cs="Times New Roman"/>
                <w:bCs/>
                <w:sz w:val="18"/>
                <w:szCs w:val="18"/>
              </w:rPr>
              <w:t>дата</w:t>
            </w:r>
            <w:r w:rsidRPr="00DB1148">
              <w:rPr>
                <w:rFonts w:ascii="Times New Roman" w:hAnsi="Times New Roman" w:cs="Times New Roman"/>
                <w:bCs/>
                <w:sz w:val="18"/>
                <w:szCs w:val="18"/>
                <w:lang w:val="en-US"/>
              </w:rPr>
              <w:t xml:space="preserve"> </w:t>
            </w:r>
            <w:r w:rsidRPr="00E33954">
              <w:rPr>
                <w:rFonts w:ascii="Times New Roman" w:hAnsi="Times New Roman" w:cs="Times New Roman"/>
                <w:bCs/>
                <w:sz w:val="18"/>
                <w:szCs w:val="18"/>
              </w:rPr>
              <w:t>обращения</w:t>
            </w:r>
            <w:r w:rsidRPr="00DB1148">
              <w:rPr>
                <w:rFonts w:ascii="Times New Roman" w:hAnsi="Times New Roman" w:cs="Times New Roman"/>
                <w:bCs/>
                <w:sz w:val="18"/>
                <w:szCs w:val="18"/>
                <w:lang w:val="en-US"/>
              </w:rPr>
              <w:t>: 01.03.2024).</w:t>
            </w:r>
          </w:p>
        </w:tc>
      </w:tr>
    </w:tbl>
    <w:p w:rsidR="00DB1148" w:rsidRPr="00DB1148" w:rsidRDefault="00DB1148">
      <w:pPr>
        <w:spacing w:after="0" w:line="240" w:lineRule="auto"/>
        <w:ind w:firstLine="709"/>
        <w:jc w:val="both"/>
        <w:rPr>
          <w:rFonts w:ascii="Times New Roman" w:hAnsi="Times New Roman" w:cs="Times New Roman"/>
          <w:sz w:val="24"/>
          <w:szCs w:val="24"/>
        </w:rPr>
      </w:pPr>
      <w:r w:rsidRPr="00DB1148">
        <w:rPr>
          <w:rFonts w:ascii="Times New Roman" w:hAnsi="Times New Roman" w:cs="Times New Roman"/>
          <w:sz w:val="24"/>
          <w:szCs w:val="24"/>
        </w:rPr>
        <w:t>Двустороннее научно-образовательное взаимодействие России и стран-членов БРИКС (включая приглашенных членов) заметно активизируется.</w:t>
      </w:r>
      <w:r>
        <w:rPr>
          <w:rFonts w:ascii="Times New Roman" w:hAnsi="Times New Roman" w:cs="Times New Roman"/>
          <w:sz w:val="24"/>
          <w:szCs w:val="24"/>
        </w:rPr>
        <w:t xml:space="preserve"> Например, в июне 2023 года обсуждались </w:t>
      </w:r>
      <w:r w:rsidRPr="00DB1148">
        <w:rPr>
          <w:rFonts w:ascii="Times New Roman" w:hAnsi="Times New Roman" w:cs="Times New Roman"/>
          <w:sz w:val="24"/>
          <w:szCs w:val="24"/>
        </w:rPr>
        <w:t>перспективы открытия новых филиалов российских вузов в Египте</w:t>
      </w:r>
      <w:r>
        <w:rPr>
          <w:rFonts w:ascii="Times New Roman" w:hAnsi="Times New Roman" w:cs="Times New Roman"/>
          <w:sz w:val="24"/>
          <w:szCs w:val="24"/>
        </w:rPr>
        <w:t xml:space="preserve">, также </w:t>
      </w:r>
      <w:r w:rsidR="00A15395">
        <w:rPr>
          <w:rFonts w:ascii="Times New Roman" w:hAnsi="Times New Roman" w:cs="Times New Roman"/>
          <w:sz w:val="24"/>
          <w:szCs w:val="24"/>
        </w:rPr>
        <w:t>на</w:t>
      </w:r>
      <w:r w:rsidRPr="00DB1148">
        <w:rPr>
          <w:rFonts w:ascii="Times New Roman" w:hAnsi="Times New Roman" w:cs="Times New Roman"/>
          <w:sz w:val="24"/>
          <w:szCs w:val="24"/>
        </w:rPr>
        <w:t xml:space="preserve"> 2023/24 учебный год выделено 250 мест по квоте Правительства Российской Федерации для египетских абитуриентов, что превышает прош</w:t>
      </w:r>
      <w:r>
        <w:rPr>
          <w:rFonts w:ascii="Times New Roman" w:hAnsi="Times New Roman" w:cs="Times New Roman"/>
          <w:sz w:val="24"/>
          <w:szCs w:val="24"/>
        </w:rPr>
        <w:t xml:space="preserve">логодние показатели в два раза. Также на </w:t>
      </w:r>
      <w:r>
        <w:rPr>
          <w:rFonts w:ascii="Times New Roman" w:hAnsi="Times New Roman" w:cs="Times New Roman"/>
          <w:sz w:val="24"/>
          <w:szCs w:val="24"/>
        </w:rPr>
        <w:lastRenderedPageBreak/>
        <w:t xml:space="preserve">встрече </w:t>
      </w:r>
      <w:r w:rsidR="001339FC">
        <w:rPr>
          <w:rFonts w:ascii="Times New Roman" w:hAnsi="Times New Roman" w:cs="Times New Roman"/>
          <w:sz w:val="24"/>
          <w:szCs w:val="24"/>
        </w:rPr>
        <w:t xml:space="preserve">в июле 2023 года Министры образования стран БРИКС </w:t>
      </w:r>
      <w:r w:rsidRPr="001339FC">
        <w:rPr>
          <w:rFonts w:ascii="Times New Roman" w:hAnsi="Times New Roman" w:cs="Times New Roman"/>
          <w:sz w:val="24"/>
          <w:szCs w:val="24"/>
        </w:rPr>
        <w:t xml:space="preserve">на заседании в </w:t>
      </w:r>
      <w:r w:rsidR="001339FC">
        <w:rPr>
          <w:rFonts w:ascii="Times New Roman" w:hAnsi="Times New Roman" w:cs="Times New Roman"/>
          <w:sz w:val="24"/>
          <w:szCs w:val="24"/>
        </w:rPr>
        <w:t>ЮАР</w:t>
      </w:r>
      <w:r w:rsidRPr="001339FC">
        <w:rPr>
          <w:rFonts w:ascii="Times New Roman" w:hAnsi="Times New Roman" w:cs="Times New Roman"/>
          <w:sz w:val="24"/>
          <w:szCs w:val="24"/>
        </w:rPr>
        <w:t xml:space="preserve"> договорились о создании независимого рейтинга университетов. </w:t>
      </w:r>
    </w:p>
    <w:p w:rsidR="00A15395" w:rsidRDefault="001339FC" w:rsidP="001339FC">
      <w:pPr>
        <w:spacing w:after="0" w:line="240" w:lineRule="auto"/>
        <w:ind w:firstLine="709"/>
        <w:jc w:val="both"/>
        <w:rPr>
          <w:rFonts w:ascii="Times New Roman" w:hAnsi="Times New Roman" w:cs="Times New Roman"/>
          <w:sz w:val="24"/>
          <w:szCs w:val="24"/>
        </w:rPr>
      </w:pPr>
      <w:r w:rsidRPr="001339FC">
        <w:rPr>
          <w:rFonts w:ascii="Times New Roman" w:hAnsi="Times New Roman" w:cs="Times New Roman"/>
          <w:sz w:val="24"/>
          <w:szCs w:val="24"/>
        </w:rPr>
        <w:t xml:space="preserve">Анализ сложившейся ситуации в области </w:t>
      </w:r>
      <w:r>
        <w:rPr>
          <w:rFonts w:ascii="Times New Roman" w:hAnsi="Times New Roman" w:cs="Times New Roman"/>
          <w:sz w:val="24"/>
          <w:szCs w:val="24"/>
        </w:rPr>
        <w:t>экспорта российского образования</w:t>
      </w:r>
      <w:r w:rsidRPr="001339FC">
        <w:rPr>
          <w:rFonts w:ascii="Times New Roman" w:hAnsi="Times New Roman" w:cs="Times New Roman"/>
          <w:sz w:val="24"/>
          <w:szCs w:val="24"/>
        </w:rPr>
        <w:t xml:space="preserve"> показывает, что при разработке стратегии развития страны на долгосрочный период необходимо учитывать потенциал государств – партнеров (как в формате двухсторонних отношений, так и в рамках БРИК</w:t>
      </w:r>
      <w:r>
        <w:rPr>
          <w:rFonts w:ascii="Times New Roman" w:hAnsi="Times New Roman" w:cs="Times New Roman"/>
          <w:sz w:val="24"/>
          <w:szCs w:val="24"/>
        </w:rPr>
        <w:t>С</w:t>
      </w:r>
      <w:r w:rsidRPr="001339FC">
        <w:rPr>
          <w:rFonts w:ascii="Times New Roman" w:hAnsi="Times New Roman" w:cs="Times New Roman"/>
          <w:sz w:val="24"/>
          <w:szCs w:val="24"/>
        </w:rPr>
        <w:t>.</w:t>
      </w:r>
      <w:r>
        <w:rPr>
          <w:rFonts w:ascii="Times New Roman" w:hAnsi="Times New Roman" w:cs="Times New Roman"/>
          <w:sz w:val="24"/>
          <w:szCs w:val="24"/>
        </w:rPr>
        <w:t xml:space="preserve"> </w:t>
      </w:r>
      <w:r w:rsidRPr="001339FC">
        <w:rPr>
          <w:rFonts w:ascii="Times New Roman" w:hAnsi="Times New Roman" w:cs="Times New Roman"/>
          <w:sz w:val="24"/>
          <w:szCs w:val="24"/>
        </w:rPr>
        <w:t>Кроме экономических выгод, обучение иностранных студентов в</w:t>
      </w:r>
      <w:r>
        <w:rPr>
          <w:rFonts w:ascii="Times New Roman" w:hAnsi="Times New Roman" w:cs="Times New Roman"/>
          <w:sz w:val="24"/>
          <w:szCs w:val="24"/>
        </w:rPr>
        <w:t xml:space="preserve"> </w:t>
      </w:r>
      <w:r w:rsidRPr="001339FC">
        <w:rPr>
          <w:rFonts w:ascii="Times New Roman" w:hAnsi="Times New Roman" w:cs="Times New Roman"/>
          <w:sz w:val="24"/>
          <w:szCs w:val="24"/>
        </w:rPr>
        <w:t>России имеет стратегическое значение – через подг</w:t>
      </w:r>
      <w:r>
        <w:rPr>
          <w:rFonts w:ascii="Times New Roman" w:hAnsi="Times New Roman" w:cs="Times New Roman"/>
          <w:sz w:val="24"/>
          <w:szCs w:val="24"/>
        </w:rPr>
        <w:t xml:space="preserve">отовку интеллектуальной элиты и </w:t>
      </w:r>
      <w:r w:rsidRPr="001339FC">
        <w:rPr>
          <w:rFonts w:ascii="Times New Roman" w:hAnsi="Times New Roman" w:cs="Times New Roman"/>
          <w:sz w:val="24"/>
          <w:szCs w:val="24"/>
        </w:rPr>
        <w:t>распространение русского языка и</w:t>
      </w:r>
      <w:r>
        <w:rPr>
          <w:rFonts w:ascii="Times New Roman" w:hAnsi="Times New Roman" w:cs="Times New Roman"/>
          <w:sz w:val="24"/>
          <w:szCs w:val="24"/>
        </w:rPr>
        <w:t xml:space="preserve"> </w:t>
      </w:r>
      <w:r w:rsidRPr="001339FC">
        <w:rPr>
          <w:rFonts w:ascii="Times New Roman" w:hAnsi="Times New Roman" w:cs="Times New Roman"/>
          <w:sz w:val="24"/>
          <w:szCs w:val="24"/>
        </w:rPr>
        <w:t>культуры повышается международное влияние России в мировом сообществе</w:t>
      </w:r>
      <w:r>
        <w:rPr>
          <w:rFonts w:ascii="Times New Roman" w:hAnsi="Times New Roman" w:cs="Times New Roman"/>
          <w:sz w:val="24"/>
          <w:szCs w:val="24"/>
        </w:rPr>
        <w:t xml:space="preserve"> </w:t>
      </w:r>
      <w:r w:rsidRPr="001339FC">
        <w:rPr>
          <w:rFonts w:ascii="Times New Roman" w:hAnsi="Times New Roman" w:cs="Times New Roman"/>
          <w:sz w:val="24"/>
          <w:szCs w:val="24"/>
        </w:rPr>
        <w:t>[5]</w:t>
      </w:r>
      <w:r>
        <w:rPr>
          <w:rFonts w:ascii="Times New Roman" w:hAnsi="Times New Roman" w:cs="Times New Roman"/>
          <w:sz w:val="24"/>
          <w:szCs w:val="24"/>
        </w:rPr>
        <w:t>.</w:t>
      </w:r>
      <w:r w:rsidR="00A15395">
        <w:rPr>
          <w:rFonts w:ascii="Times New Roman" w:hAnsi="Times New Roman" w:cs="Times New Roman"/>
          <w:sz w:val="24"/>
          <w:szCs w:val="24"/>
        </w:rPr>
        <w:t xml:space="preserve"> Также привлечение талантливой молодежи позволит сократить Российской Федерации </w:t>
      </w:r>
      <w:r w:rsidR="00A15395" w:rsidRPr="00A15395">
        <w:rPr>
          <w:rFonts w:ascii="Times New Roman" w:hAnsi="Times New Roman" w:cs="Times New Roman"/>
          <w:sz w:val="24"/>
          <w:szCs w:val="24"/>
        </w:rPr>
        <w:t>дефицит кадров высшей квал</w:t>
      </w:r>
      <w:r w:rsidR="00A15395">
        <w:rPr>
          <w:rFonts w:ascii="Times New Roman" w:hAnsi="Times New Roman" w:cs="Times New Roman"/>
          <w:sz w:val="24"/>
          <w:szCs w:val="24"/>
        </w:rPr>
        <w:t>ификации (в том числе научных).</w:t>
      </w:r>
    </w:p>
    <w:p w:rsidR="00BC33A9" w:rsidRDefault="00BC33A9" w:rsidP="001339FC">
      <w:pPr>
        <w:spacing w:after="0" w:line="240" w:lineRule="auto"/>
        <w:ind w:firstLine="709"/>
        <w:jc w:val="both"/>
        <w:rPr>
          <w:rFonts w:ascii="Times New Roman" w:hAnsi="Times New Roman" w:cs="Times New Roman"/>
          <w:sz w:val="24"/>
          <w:szCs w:val="24"/>
        </w:rPr>
      </w:pPr>
      <w:r w:rsidRPr="00BC33A9">
        <w:rPr>
          <w:rFonts w:ascii="Times New Roman" w:hAnsi="Times New Roman" w:cs="Times New Roman"/>
          <w:sz w:val="24"/>
          <w:szCs w:val="24"/>
        </w:rPr>
        <w:t>Исследование выполнено в рамках государственного задания ИЭ УрО РАН на 202</w:t>
      </w:r>
      <w:r>
        <w:rPr>
          <w:rFonts w:ascii="Times New Roman" w:hAnsi="Times New Roman" w:cs="Times New Roman"/>
          <w:sz w:val="24"/>
          <w:szCs w:val="24"/>
        </w:rPr>
        <w:t>4</w:t>
      </w:r>
      <w:r w:rsidRPr="00BC33A9">
        <w:rPr>
          <w:rFonts w:ascii="Times New Roman" w:hAnsi="Times New Roman" w:cs="Times New Roman"/>
          <w:sz w:val="24"/>
          <w:szCs w:val="24"/>
        </w:rPr>
        <w:t xml:space="preserve"> год.</w:t>
      </w:r>
    </w:p>
    <w:p w:rsidR="00A15395" w:rsidRPr="00A15395" w:rsidRDefault="00A15395" w:rsidP="001339FC">
      <w:pPr>
        <w:spacing w:after="0" w:line="240" w:lineRule="auto"/>
        <w:ind w:firstLine="709"/>
        <w:jc w:val="both"/>
        <w:rPr>
          <w:rFonts w:ascii="Times New Roman" w:hAnsi="Times New Roman" w:cs="Times New Roman"/>
          <w:sz w:val="24"/>
          <w:szCs w:val="24"/>
        </w:rPr>
      </w:pPr>
    </w:p>
    <w:p w:rsidR="008023B7" w:rsidRPr="001339FC" w:rsidRDefault="00F50800">
      <w:pPr>
        <w:spacing w:after="0" w:line="240" w:lineRule="auto"/>
        <w:jc w:val="center"/>
        <w:rPr>
          <w:rFonts w:ascii="Times New Roman" w:hAnsi="Times New Roman" w:cs="Times New Roman"/>
          <w:b/>
          <w:sz w:val="24"/>
          <w:szCs w:val="24"/>
        </w:rPr>
      </w:pPr>
      <w:r w:rsidRPr="001339FC">
        <w:rPr>
          <w:rFonts w:ascii="Times New Roman" w:hAnsi="Times New Roman" w:cs="Times New Roman"/>
          <w:b/>
          <w:sz w:val="24"/>
          <w:szCs w:val="24"/>
        </w:rPr>
        <w:t>Библиографический список</w:t>
      </w:r>
    </w:p>
    <w:p w:rsidR="001339FC" w:rsidRPr="001339FC" w:rsidRDefault="001339FC">
      <w:pPr>
        <w:spacing w:after="0" w:line="240" w:lineRule="auto"/>
        <w:ind w:firstLine="709"/>
        <w:jc w:val="both"/>
        <w:rPr>
          <w:rFonts w:ascii="Times New Roman" w:hAnsi="Times New Roman" w:cs="Times New Roman"/>
          <w:sz w:val="24"/>
          <w:szCs w:val="24"/>
        </w:rPr>
      </w:pPr>
      <w:r w:rsidRPr="001339FC">
        <w:rPr>
          <w:rFonts w:ascii="Times New Roman" w:hAnsi="Times New Roman" w:cs="Times New Roman"/>
          <w:sz w:val="24"/>
          <w:szCs w:val="24"/>
        </w:rPr>
        <w:t xml:space="preserve">1. Захарова В.В. Оценка влияния внешнеэкономического фактора на реализацию приоритетов социально-экономического и инновационного развития на примере федеральных округов // Вопросы инновационной экономики. – 2020. – Том 10. – № 2. – С. 891-900. </w:t>
      </w:r>
    </w:p>
    <w:p w:rsidR="008023B7" w:rsidRPr="001339FC" w:rsidRDefault="001339F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2. </w:t>
      </w:r>
      <w:r w:rsidRPr="001339FC">
        <w:rPr>
          <w:rFonts w:ascii="Times New Roman" w:hAnsi="Times New Roman" w:cs="Times New Roman"/>
          <w:sz w:val="24"/>
          <w:szCs w:val="24"/>
        </w:rPr>
        <w:t>Машкина Ольга Анатольевна Страны БРИКС: стратегии развития высшего образования // Вестник Московского университета. Серия 20. Педагогическое образование. 2017. №2</w:t>
      </w:r>
      <w:r w:rsidR="00F50800" w:rsidRPr="001339FC">
        <w:rPr>
          <w:rFonts w:ascii="Times New Roman" w:hAnsi="Times New Roman" w:cs="Times New Roman"/>
          <w:sz w:val="24"/>
          <w:szCs w:val="24"/>
        </w:rPr>
        <w:t>.</w:t>
      </w:r>
    </w:p>
    <w:p w:rsidR="008023B7" w:rsidRDefault="00F50800">
      <w:pPr>
        <w:spacing w:after="0" w:line="240" w:lineRule="auto"/>
        <w:ind w:firstLine="709"/>
        <w:jc w:val="both"/>
        <w:rPr>
          <w:rFonts w:ascii="Times New Roman" w:hAnsi="Times New Roman" w:cs="Times New Roman"/>
          <w:sz w:val="24"/>
          <w:szCs w:val="24"/>
        </w:rPr>
      </w:pPr>
      <w:r w:rsidRPr="001339FC">
        <w:rPr>
          <w:rFonts w:ascii="Times New Roman" w:hAnsi="Times New Roman" w:cs="Times New Roman"/>
          <w:sz w:val="24"/>
          <w:szCs w:val="24"/>
        </w:rPr>
        <w:t>3.</w:t>
      </w:r>
      <w:r w:rsidR="001339FC">
        <w:rPr>
          <w:rFonts w:ascii="Times New Roman" w:hAnsi="Times New Roman" w:cs="Times New Roman"/>
          <w:sz w:val="24"/>
          <w:szCs w:val="24"/>
        </w:rPr>
        <w:t> </w:t>
      </w:r>
      <w:r w:rsidR="001339FC" w:rsidRPr="001339FC">
        <w:rPr>
          <w:rFonts w:ascii="Times New Roman" w:hAnsi="Times New Roman" w:cs="Times New Roman"/>
          <w:sz w:val="24"/>
          <w:szCs w:val="24"/>
        </w:rPr>
        <w:t>Защитина, Е. К. Концептуальная модель единого интернационального образовательного пространства как фактор увеличения экспорта услуг высшего образования в Российской Федерации / Е. К. Защитина // Вестник Северо-Кавказского федерального университета. –</w:t>
      </w:r>
      <w:r w:rsidR="001339FC">
        <w:rPr>
          <w:rFonts w:ascii="Times New Roman" w:hAnsi="Times New Roman" w:cs="Times New Roman"/>
          <w:sz w:val="24"/>
          <w:szCs w:val="24"/>
        </w:rPr>
        <w:t xml:space="preserve"> 2018. – № 5(68). – С. 65-75.</w:t>
      </w:r>
    </w:p>
    <w:p w:rsidR="001339FC" w:rsidRDefault="001339FC">
      <w:pPr>
        <w:spacing w:after="0" w:line="240" w:lineRule="auto"/>
        <w:ind w:firstLine="709"/>
        <w:jc w:val="both"/>
        <w:rPr>
          <w:rFonts w:ascii="Times New Roman" w:hAnsi="Times New Roman" w:cs="Times New Roman"/>
          <w:sz w:val="24"/>
          <w:szCs w:val="24"/>
        </w:rPr>
      </w:pPr>
      <w:r w:rsidRPr="001339FC">
        <w:rPr>
          <w:rFonts w:ascii="Times New Roman" w:hAnsi="Times New Roman" w:cs="Times New Roman"/>
          <w:sz w:val="24"/>
          <w:szCs w:val="24"/>
        </w:rPr>
        <w:t>4</w:t>
      </w:r>
      <w:r>
        <w:rPr>
          <w:rFonts w:ascii="Times New Roman" w:hAnsi="Times New Roman" w:cs="Times New Roman"/>
          <w:sz w:val="24"/>
          <w:szCs w:val="24"/>
        </w:rPr>
        <w:t>. </w:t>
      </w:r>
      <w:r w:rsidRPr="001339FC">
        <w:rPr>
          <w:rFonts w:ascii="Times New Roman" w:hAnsi="Times New Roman" w:cs="Times New Roman"/>
          <w:sz w:val="24"/>
          <w:szCs w:val="24"/>
        </w:rPr>
        <w:t>Нагорнова, М. Г. Ключевые аспекты привлекательности высшего образования в вузах России для иностранных студентов в условиях экспорта образования / М. Г. Нагорнова // Форум молодых ученых. – 2020. – № 7(47). – С. 206-210</w:t>
      </w:r>
    </w:p>
    <w:p w:rsidR="001339FC" w:rsidRDefault="001339F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5. </w:t>
      </w:r>
      <w:r w:rsidRPr="001339FC">
        <w:rPr>
          <w:rFonts w:ascii="Times New Roman" w:hAnsi="Times New Roman" w:cs="Times New Roman"/>
          <w:sz w:val="24"/>
          <w:szCs w:val="24"/>
        </w:rPr>
        <w:t>Привлечение иностранных студ</w:t>
      </w:r>
      <w:r>
        <w:rPr>
          <w:rFonts w:ascii="Times New Roman" w:hAnsi="Times New Roman" w:cs="Times New Roman"/>
          <w:sz w:val="24"/>
          <w:szCs w:val="24"/>
        </w:rPr>
        <w:t xml:space="preserve">ентов в </w:t>
      </w:r>
      <w:r w:rsidRPr="001339FC">
        <w:rPr>
          <w:rFonts w:ascii="Times New Roman" w:hAnsi="Times New Roman" w:cs="Times New Roman"/>
          <w:sz w:val="24"/>
          <w:szCs w:val="24"/>
        </w:rPr>
        <w:t>российские универс</w:t>
      </w:r>
      <w:r>
        <w:rPr>
          <w:rFonts w:ascii="Times New Roman" w:hAnsi="Times New Roman" w:cs="Times New Roman"/>
          <w:sz w:val="24"/>
          <w:szCs w:val="24"/>
        </w:rPr>
        <w:t>итеты. Практическое руководство</w:t>
      </w:r>
      <w:r w:rsidRPr="001339FC">
        <w:rPr>
          <w:rFonts w:ascii="Times New Roman" w:hAnsi="Times New Roman" w:cs="Times New Roman"/>
          <w:sz w:val="24"/>
          <w:szCs w:val="24"/>
        </w:rPr>
        <w:t>: [монография] / Е. В. Вашурина, О. А. Вершинина, Ч. Ф. Газиева, Я. Ш. Евдокимова, А. А. Крылов, С. А. Мухамедиева, О. В. Павлова, Ф. А. Хайдаров. – Екатеринбург: Изд-во Урал. ун-та, 2016. – 234 с.</w:t>
      </w:r>
    </w:p>
    <w:p w:rsidR="001339FC" w:rsidRPr="001339FC" w:rsidRDefault="001339FC">
      <w:pPr>
        <w:spacing w:after="0" w:line="240" w:lineRule="auto"/>
        <w:ind w:firstLine="709"/>
        <w:jc w:val="both"/>
        <w:rPr>
          <w:rFonts w:ascii="Times New Roman" w:hAnsi="Times New Roman" w:cs="Times New Roman"/>
          <w:sz w:val="24"/>
          <w:szCs w:val="24"/>
        </w:rPr>
      </w:pPr>
    </w:p>
    <w:p w:rsidR="008023B7" w:rsidRDefault="00F50800">
      <w:pPr>
        <w:spacing w:after="0" w:line="240" w:lineRule="auto"/>
        <w:jc w:val="center"/>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Информация об авторе</w:t>
      </w:r>
    </w:p>
    <w:p w:rsidR="0047359D" w:rsidRDefault="0047359D">
      <w:pPr>
        <w:spacing w:after="0" w:line="240" w:lineRule="auto"/>
        <w:ind w:firstLine="709"/>
        <w:jc w:val="both"/>
        <w:rPr>
          <w:rFonts w:ascii="Times New Roman" w:hAnsi="Times New Roman" w:cs="Times New Roman"/>
          <w:sz w:val="24"/>
          <w:szCs w:val="24"/>
        </w:rPr>
      </w:pPr>
      <w:r w:rsidRPr="0047359D">
        <w:rPr>
          <w:rFonts w:ascii="Times New Roman" w:hAnsi="Times New Roman" w:cs="Times New Roman"/>
          <w:b/>
          <w:sz w:val="24"/>
          <w:szCs w:val="24"/>
        </w:rPr>
        <w:t>Захарова Виктория Владимировна</w:t>
      </w:r>
      <w:r w:rsidR="00F50800">
        <w:rPr>
          <w:rFonts w:ascii="Times New Roman" w:hAnsi="Times New Roman" w:cs="Times New Roman"/>
          <w:b/>
          <w:bCs/>
          <w:sz w:val="24"/>
          <w:szCs w:val="24"/>
        </w:rPr>
        <w:t xml:space="preserve"> (Россия, </w:t>
      </w:r>
      <w:r>
        <w:rPr>
          <w:rFonts w:ascii="Times New Roman" w:hAnsi="Times New Roman" w:cs="Times New Roman"/>
          <w:b/>
          <w:bCs/>
          <w:sz w:val="24"/>
          <w:szCs w:val="24"/>
        </w:rPr>
        <w:t>Екатеринбург</w:t>
      </w:r>
      <w:r w:rsidR="00F50800">
        <w:rPr>
          <w:rFonts w:ascii="Times New Roman" w:hAnsi="Times New Roman" w:cs="Times New Roman"/>
          <w:b/>
          <w:bCs/>
          <w:sz w:val="24"/>
          <w:szCs w:val="24"/>
        </w:rPr>
        <w:t>)</w:t>
      </w:r>
      <w:r w:rsidR="00F50800">
        <w:rPr>
          <w:rFonts w:ascii="Times New Roman" w:hAnsi="Times New Roman" w:cs="Times New Roman"/>
          <w:sz w:val="24"/>
          <w:szCs w:val="24"/>
        </w:rPr>
        <w:t xml:space="preserve"> – </w:t>
      </w:r>
      <w:r w:rsidRPr="0047359D">
        <w:rPr>
          <w:rFonts w:ascii="Times New Roman" w:hAnsi="Times New Roman" w:cs="Times New Roman"/>
          <w:sz w:val="24"/>
          <w:szCs w:val="24"/>
        </w:rPr>
        <w:t xml:space="preserve">младший научный сотрудник центра региональных компаративных исследований, Федеральное государственное бюджетное учреждение науки Институт экономики Уральского отделения Российской академии наук (Российская Федерация, 620014, г. Екатеринбург, ул. Московская, 29, </w:t>
      </w:r>
      <w:r>
        <w:rPr>
          <w:rFonts w:ascii="Times New Roman" w:hAnsi="Times New Roman" w:cs="Times New Roman"/>
          <w:sz w:val="24"/>
          <w:szCs w:val="24"/>
          <w:lang w:val="en-US"/>
        </w:rPr>
        <w:t>e</w:t>
      </w:r>
      <w:r>
        <w:rPr>
          <w:rFonts w:ascii="Times New Roman" w:hAnsi="Times New Roman" w:cs="Times New Roman"/>
          <w:sz w:val="24"/>
          <w:szCs w:val="24"/>
        </w:rPr>
        <w:t>-</w:t>
      </w:r>
      <w:r>
        <w:rPr>
          <w:rFonts w:ascii="Times New Roman" w:hAnsi="Times New Roman" w:cs="Times New Roman"/>
          <w:sz w:val="24"/>
          <w:szCs w:val="24"/>
          <w:lang w:val="en-US"/>
        </w:rPr>
        <w:t>mail</w:t>
      </w:r>
      <w:r>
        <w:rPr>
          <w:rFonts w:ascii="Times New Roman" w:hAnsi="Times New Roman" w:cs="Times New Roman"/>
          <w:sz w:val="24"/>
          <w:szCs w:val="24"/>
        </w:rPr>
        <w:t xml:space="preserve">: </w:t>
      </w:r>
      <w:r w:rsidRPr="0047359D">
        <w:rPr>
          <w:rFonts w:ascii="Times New Roman" w:hAnsi="Times New Roman" w:cs="Times New Roman"/>
          <w:sz w:val="24"/>
          <w:szCs w:val="24"/>
        </w:rPr>
        <w:t>zakharova.vv@uiec.ru)</w:t>
      </w:r>
    </w:p>
    <w:p w:rsidR="0047359D" w:rsidRDefault="0047359D">
      <w:pPr>
        <w:spacing w:after="0" w:line="240" w:lineRule="auto"/>
        <w:ind w:firstLine="709"/>
        <w:jc w:val="both"/>
        <w:rPr>
          <w:rFonts w:ascii="Times New Roman" w:hAnsi="Times New Roman" w:cs="Times New Roman"/>
          <w:sz w:val="24"/>
          <w:szCs w:val="24"/>
        </w:rPr>
      </w:pPr>
    </w:p>
    <w:p w:rsidR="008023B7" w:rsidRPr="00FD51DC" w:rsidRDefault="0047359D">
      <w:pPr>
        <w:spacing w:after="0" w:line="240" w:lineRule="auto"/>
        <w:jc w:val="right"/>
        <w:rPr>
          <w:rFonts w:ascii="Times New Roman" w:hAnsi="Times New Roman" w:cs="Times New Roman"/>
          <w:b/>
          <w:sz w:val="24"/>
          <w:szCs w:val="24"/>
          <w:shd w:val="clear" w:color="auto" w:fill="FFFFFF"/>
          <w:lang w:val="en-US"/>
        </w:rPr>
      </w:pPr>
      <w:r w:rsidRPr="0047359D">
        <w:rPr>
          <w:rFonts w:ascii="Times New Roman" w:hAnsi="Times New Roman" w:cs="Times New Roman"/>
          <w:b/>
          <w:sz w:val="24"/>
          <w:szCs w:val="24"/>
          <w:shd w:val="clear" w:color="auto" w:fill="FFFFFF"/>
          <w:lang w:val="en-US"/>
        </w:rPr>
        <w:t>Zakharova</w:t>
      </w:r>
      <w:r w:rsidR="00F50800" w:rsidRPr="00FD51DC">
        <w:rPr>
          <w:rFonts w:ascii="Times New Roman" w:hAnsi="Times New Roman" w:cs="Times New Roman"/>
          <w:b/>
          <w:sz w:val="24"/>
          <w:szCs w:val="24"/>
          <w:shd w:val="clear" w:color="auto" w:fill="FFFFFF"/>
          <w:lang w:val="en-US"/>
        </w:rPr>
        <w:t xml:space="preserve"> </w:t>
      </w:r>
      <w:r>
        <w:rPr>
          <w:rFonts w:ascii="Times New Roman" w:hAnsi="Times New Roman" w:cs="Times New Roman"/>
          <w:b/>
          <w:sz w:val="24"/>
          <w:szCs w:val="24"/>
          <w:shd w:val="clear" w:color="auto" w:fill="FFFFFF"/>
          <w:lang w:val="en-US"/>
        </w:rPr>
        <w:t>V</w:t>
      </w:r>
      <w:r w:rsidR="00F50800" w:rsidRPr="00FD51DC">
        <w:rPr>
          <w:rFonts w:ascii="Times New Roman" w:hAnsi="Times New Roman" w:cs="Times New Roman"/>
          <w:b/>
          <w:sz w:val="24"/>
          <w:szCs w:val="24"/>
          <w:shd w:val="clear" w:color="auto" w:fill="FFFFFF"/>
          <w:lang w:val="en-US"/>
        </w:rPr>
        <w:t>.</w:t>
      </w:r>
      <w:r>
        <w:rPr>
          <w:rFonts w:ascii="Times New Roman" w:hAnsi="Times New Roman" w:cs="Times New Roman"/>
          <w:b/>
          <w:sz w:val="24"/>
          <w:szCs w:val="24"/>
          <w:shd w:val="clear" w:color="auto" w:fill="FFFFFF"/>
          <w:lang w:val="en-US"/>
        </w:rPr>
        <w:t>V</w:t>
      </w:r>
      <w:r w:rsidR="00F50800" w:rsidRPr="00FD51DC">
        <w:rPr>
          <w:rFonts w:ascii="Times New Roman" w:hAnsi="Times New Roman" w:cs="Times New Roman"/>
          <w:b/>
          <w:sz w:val="24"/>
          <w:szCs w:val="24"/>
          <w:shd w:val="clear" w:color="auto" w:fill="FFFFFF"/>
          <w:lang w:val="en-US"/>
        </w:rPr>
        <w:t>.</w:t>
      </w:r>
    </w:p>
    <w:p w:rsidR="008023B7" w:rsidRDefault="00B5549A">
      <w:pPr>
        <w:spacing w:after="0" w:line="240" w:lineRule="auto"/>
        <w:ind w:firstLine="709"/>
        <w:jc w:val="center"/>
        <w:rPr>
          <w:rFonts w:ascii="Times New Roman" w:hAnsi="Times New Roman" w:cs="Times New Roman"/>
          <w:b/>
          <w:bCs/>
          <w:sz w:val="24"/>
          <w:szCs w:val="24"/>
          <w:lang w:val="en-US"/>
        </w:rPr>
      </w:pPr>
      <w:r w:rsidRPr="00B5549A">
        <w:rPr>
          <w:rFonts w:ascii="Times New Roman" w:hAnsi="Times New Roman" w:cs="Times New Roman"/>
          <w:b/>
          <w:bCs/>
          <w:sz w:val="24"/>
          <w:szCs w:val="24"/>
          <w:lang w:val="en-US"/>
        </w:rPr>
        <w:t>DEVELOPMENT OF EXPORT OF HIGHER EDUCATION IN THE RUSSIAN FEDERATION AS AN ELEMENT OF POSITIONING THE COUNTRY IN A MULTIPOLAR WORLD</w:t>
      </w:r>
    </w:p>
    <w:p w:rsidR="008023B7" w:rsidRDefault="008023B7">
      <w:pPr>
        <w:spacing w:after="0" w:line="240" w:lineRule="auto"/>
        <w:ind w:firstLine="709"/>
        <w:jc w:val="center"/>
        <w:rPr>
          <w:rFonts w:ascii="Times New Roman" w:hAnsi="Times New Roman" w:cs="Times New Roman"/>
          <w:b/>
          <w:bCs/>
          <w:sz w:val="24"/>
          <w:szCs w:val="24"/>
          <w:lang w:val="en-US"/>
        </w:rPr>
      </w:pPr>
    </w:p>
    <w:p w:rsidR="008023B7" w:rsidRPr="00A15395" w:rsidRDefault="00F50800">
      <w:pPr>
        <w:spacing w:after="0" w:line="240" w:lineRule="auto"/>
        <w:ind w:firstLine="709"/>
        <w:jc w:val="both"/>
        <w:rPr>
          <w:rFonts w:ascii="Times New Roman" w:hAnsi="Times New Roman" w:cs="Times New Roman"/>
          <w:sz w:val="24"/>
          <w:szCs w:val="24"/>
          <w:lang w:val="en-US"/>
        </w:rPr>
      </w:pPr>
      <w:r w:rsidRPr="00A15395">
        <w:rPr>
          <w:rFonts w:ascii="Times New Roman" w:hAnsi="Times New Roman" w:cs="Times New Roman"/>
          <w:b/>
          <w:sz w:val="24"/>
          <w:szCs w:val="24"/>
          <w:lang w:val="en-US"/>
        </w:rPr>
        <w:t xml:space="preserve">Abstract. </w:t>
      </w:r>
      <w:r w:rsidR="00A15395" w:rsidRPr="00A15395">
        <w:rPr>
          <w:rFonts w:ascii="Times New Roman" w:hAnsi="Times New Roman" w:cs="Times New Roman"/>
          <w:sz w:val="24"/>
          <w:szCs w:val="24"/>
          <w:lang w:val="en-US"/>
        </w:rPr>
        <w:t>This study presents trends in the development of higher education exports in the Russian Federation and analyzes a promising direction of development - attracting students from the BRICS countries. In addition to economic benefits, the education of foreign students in Russia has strategic importance - through the training of the intellectual elite and the dissemination of the Russian language and culture, Russia’s international influence in the world community increases. Also, attracting talented youth will reduce the shortage of highly qualified personnel in the Russian Federation.</w:t>
      </w:r>
    </w:p>
    <w:p w:rsidR="008023B7" w:rsidRPr="00A15395" w:rsidRDefault="00F50800">
      <w:pPr>
        <w:spacing w:after="0" w:line="240" w:lineRule="auto"/>
        <w:ind w:firstLine="709"/>
        <w:jc w:val="both"/>
        <w:rPr>
          <w:rFonts w:ascii="Times New Roman" w:hAnsi="Times New Roman" w:cs="Times New Roman"/>
          <w:sz w:val="24"/>
          <w:szCs w:val="24"/>
          <w:lang w:val="en-US"/>
        </w:rPr>
      </w:pPr>
      <w:r w:rsidRPr="00A15395">
        <w:rPr>
          <w:rFonts w:ascii="Times New Roman" w:hAnsi="Times New Roman" w:cs="Times New Roman"/>
          <w:b/>
          <w:sz w:val="24"/>
          <w:szCs w:val="24"/>
          <w:lang w:val="en-US"/>
        </w:rPr>
        <w:t>Keywords:</w:t>
      </w:r>
      <w:r w:rsidRPr="00A15395">
        <w:rPr>
          <w:rFonts w:ascii="Times New Roman" w:hAnsi="Times New Roman" w:cs="Times New Roman"/>
          <w:sz w:val="24"/>
          <w:szCs w:val="24"/>
          <w:lang w:val="en-US"/>
        </w:rPr>
        <w:t xml:space="preserve"> </w:t>
      </w:r>
      <w:r w:rsidR="00A15395" w:rsidRPr="00A15395">
        <w:rPr>
          <w:rFonts w:ascii="Times New Roman" w:hAnsi="Times New Roman" w:cs="Times New Roman"/>
          <w:sz w:val="24"/>
          <w:szCs w:val="24"/>
          <w:lang w:val="en-US"/>
        </w:rPr>
        <w:t>export of higher education, BRICS, university rankings</w:t>
      </w:r>
      <w:r w:rsidRPr="00A15395">
        <w:rPr>
          <w:rFonts w:ascii="Times New Roman" w:hAnsi="Times New Roman" w:cs="Times New Roman"/>
          <w:sz w:val="24"/>
          <w:szCs w:val="24"/>
          <w:lang w:val="en-US"/>
        </w:rPr>
        <w:t>.</w:t>
      </w:r>
    </w:p>
    <w:p w:rsidR="00A15395" w:rsidRPr="00A15395" w:rsidRDefault="00A15395">
      <w:pPr>
        <w:spacing w:after="0" w:line="240" w:lineRule="auto"/>
        <w:ind w:firstLine="709"/>
        <w:jc w:val="both"/>
        <w:rPr>
          <w:rFonts w:ascii="Times New Roman" w:hAnsi="Times New Roman" w:cs="Times New Roman"/>
          <w:sz w:val="24"/>
          <w:szCs w:val="24"/>
          <w:lang w:val="en-US"/>
        </w:rPr>
      </w:pPr>
    </w:p>
    <w:p w:rsidR="008023B7" w:rsidRDefault="00F50800">
      <w:pPr>
        <w:spacing w:after="0" w:line="240" w:lineRule="auto"/>
        <w:ind w:firstLine="709"/>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About the author</w:t>
      </w:r>
    </w:p>
    <w:p w:rsidR="0047359D" w:rsidRPr="0047359D" w:rsidRDefault="0047359D" w:rsidP="0047359D">
      <w:pPr>
        <w:spacing w:after="0" w:line="240" w:lineRule="auto"/>
        <w:ind w:firstLine="709"/>
        <w:jc w:val="both"/>
        <w:rPr>
          <w:rFonts w:ascii="Times New Roman" w:hAnsi="Times New Roman" w:cs="Times New Roman"/>
          <w:bCs/>
          <w:sz w:val="24"/>
          <w:szCs w:val="24"/>
          <w:lang w:val="en-US"/>
        </w:rPr>
      </w:pPr>
      <w:r w:rsidRPr="0047359D">
        <w:rPr>
          <w:rFonts w:ascii="Times New Roman" w:hAnsi="Times New Roman" w:cs="Times New Roman"/>
          <w:b/>
          <w:bCs/>
          <w:sz w:val="24"/>
          <w:szCs w:val="24"/>
          <w:lang w:val="en-US"/>
        </w:rPr>
        <w:t xml:space="preserve">Zakharova Victoria Vladimirovna </w:t>
      </w:r>
      <w:r w:rsidRPr="0047359D">
        <w:rPr>
          <w:rFonts w:ascii="Times New Roman" w:hAnsi="Times New Roman" w:cs="Times New Roman"/>
          <w:bCs/>
          <w:sz w:val="24"/>
          <w:szCs w:val="24"/>
          <w:lang w:val="en-US"/>
        </w:rPr>
        <w:t xml:space="preserve">(Ekaterinburg, Russia) – Junior Researcher, Center for Regional Comparative Studies, Institute of Economics of the Ural Branch of the Russian Academy of Sciences (29, Moskovskaya st., Ekaterinburg, Russian Federation, 620014, </w:t>
      </w:r>
      <w:r>
        <w:rPr>
          <w:rFonts w:ascii="Times New Roman" w:hAnsi="Times New Roman" w:cs="Times New Roman"/>
          <w:sz w:val="24"/>
          <w:szCs w:val="24"/>
          <w:lang w:val="en-US"/>
        </w:rPr>
        <w:t xml:space="preserve">e-mail: </w:t>
      </w:r>
      <w:r w:rsidRPr="0047359D">
        <w:rPr>
          <w:rFonts w:ascii="Times New Roman" w:hAnsi="Times New Roman" w:cs="Times New Roman"/>
          <w:bCs/>
          <w:sz w:val="24"/>
          <w:szCs w:val="24"/>
          <w:lang w:val="en-US"/>
        </w:rPr>
        <w:t>zakharova.vv@uiec.ru)</w:t>
      </w:r>
    </w:p>
    <w:p w:rsidR="008023B7" w:rsidRPr="001339FC" w:rsidRDefault="008023B7">
      <w:pPr>
        <w:spacing w:after="0" w:line="240" w:lineRule="auto"/>
        <w:ind w:firstLine="709"/>
        <w:jc w:val="both"/>
        <w:rPr>
          <w:rFonts w:ascii="Times New Roman" w:hAnsi="Times New Roman" w:cs="Times New Roman"/>
          <w:iCs/>
          <w:sz w:val="24"/>
          <w:szCs w:val="24"/>
          <w:lang w:val="en-GB"/>
        </w:rPr>
      </w:pPr>
    </w:p>
    <w:p w:rsidR="008023B7" w:rsidRPr="001339FC" w:rsidRDefault="00F50800">
      <w:pPr>
        <w:spacing w:after="0" w:line="240" w:lineRule="auto"/>
        <w:jc w:val="center"/>
        <w:rPr>
          <w:rFonts w:ascii="Times New Roman" w:hAnsi="Times New Roman" w:cs="Times New Roman"/>
          <w:b/>
          <w:sz w:val="24"/>
          <w:szCs w:val="24"/>
          <w:lang w:val="en-US"/>
        </w:rPr>
      </w:pPr>
      <w:r w:rsidRPr="001339FC">
        <w:rPr>
          <w:rFonts w:ascii="Times New Roman" w:hAnsi="Times New Roman" w:cs="Times New Roman"/>
          <w:b/>
          <w:sz w:val="24"/>
          <w:szCs w:val="24"/>
          <w:lang w:val="en-US"/>
        </w:rPr>
        <w:t>References</w:t>
      </w:r>
    </w:p>
    <w:p w:rsidR="001339FC" w:rsidRPr="001339FC" w:rsidRDefault="001339FC" w:rsidP="001339FC">
      <w:pPr>
        <w:spacing w:after="0" w:line="240" w:lineRule="auto"/>
        <w:ind w:firstLine="709"/>
        <w:jc w:val="both"/>
        <w:rPr>
          <w:rFonts w:ascii="Times New Roman" w:hAnsi="Times New Roman" w:cs="Times New Roman"/>
          <w:bCs/>
          <w:iCs/>
          <w:sz w:val="24"/>
          <w:szCs w:val="24"/>
          <w:shd w:val="clear" w:color="auto" w:fill="FFFFFF"/>
          <w:lang w:val="en-US"/>
        </w:rPr>
      </w:pPr>
      <w:r w:rsidRPr="001339FC">
        <w:rPr>
          <w:rFonts w:ascii="Times New Roman" w:hAnsi="Times New Roman" w:cs="Times New Roman"/>
          <w:bCs/>
          <w:iCs/>
          <w:sz w:val="24"/>
          <w:szCs w:val="24"/>
          <w:shd w:val="clear" w:color="auto" w:fill="FFFFFF"/>
          <w:lang w:val="en-US"/>
        </w:rPr>
        <w:t>1. Zakharova V.V. Assessing the influence of foreign economic factors on the implementation of priorities of socio-economic and innovative development using the example of federal districts // Issues of innovative economics. – 2020. – Volume 10. – No. 2. – P. 891-900.</w:t>
      </w:r>
    </w:p>
    <w:p w:rsidR="001339FC" w:rsidRPr="001339FC" w:rsidRDefault="001339FC" w:rsidP="001339FC">
      <w:pPr>
        <w:spacing w:after="0" w:line="240" w:lineRule="auto"/>
        <w:ind w:firstLine="709"/>
        <w:jc w:val="both"/>
        <w:rPr>
          <w:rFonts w:ascii="Times New Roman" w:hAnsi="Times New Roman" w:cs="Times New Roman"/>
          <w:bCs/>
          <w:iCs/>
          <w:sz w:val="24"/>
          <w:szCs w:val="24"/>
          <w:shd w:val="clear" w:color="auto" w:fill="FFFFFF"/>
          <w:lang w:val="en-US"/>
        </w:rPr>
      </w:pPr>
      <w:r w:rsidRPr="001339FC">
        <w:rPr>
          <w:rFonts w:ascii="Times New Roman" w:hAnsi="Times New Roman" w:cs="Times New Roman"/>
          <w:bCs/>
          <w:iCs/>
          <w:sz w:val="24"/>
          <w:szCs w:val="24"/>
          <w:shd w:val="clear" w:color="auto" w:fill="FFFFFF"/>
          <w:lang w:val="en-US"/>
        </w:rPr>
        <w:t>2. Olga Anatolyevna Mashkina BRICS countries: strategies for the development of higher education // Bulletin of Moscow University. Episode 20. Teacher education. 2017. No. 2.</w:t>
      </w:r>
    </w:p>
    <w:p w:rsidR="001339FC" w:rsidRPr="001339FC" w:rsidRDefault="001339FC" w:rsidP="001339FC">
      <w:pPr>
        <w:spacing w:after="0" w:line="240" w:lineRule="auto"/>
        <w:ind w:firstLine="709"/>
        <w:jc w:val="both"/>
        <w:rPr>
          <w:rFonts w:ascii="Times New Roman" w:hAnsi="Times New Roman" w:cs="Times New Roman"/>
          <w:bCs/>
          <w:iCs/>
          <w:sz w:val="24"/>
          <w:szCs w:val="24"/>
          <w:shd w:val="clear" w:color="auto" w:fill="FFFFFF"/>
          <w:lang w:val="en-US"/>
        </w:rPr>
      </w:pPr>
      <w:r w:rsidRPr="001339FC">
        <w:rPr>
          <w:rFonts w:ascii="Times New Roman" w:hAnsi="Times New Roman" w:cs="Times New Roman"/>
          <w:bCs/>
          <w:iCs/>
          <w:sz w:val="24"/>
          <w:szCs w:val="24"/>
          <w:shd w:val="clear" w:color="auto" w:fill="FFFFFF"/>
          <w:lang w:val="en-US"/>
        </w:rPr>
        <w:t>3. Zashchitina, E. K. Conceptual model of a single international educational space as a factor in increasing the export of higher education services in the Russian Federation / E. K. Zashchitina // Bulletin of the North Caucasus Federal University. – 2018. – No. 5(68). – pp. 65-75.</w:t>
      </w:r>
    </w:p>
    <w:p w:rsidR="001339FC" w:rsidRPr="001339FC" w:rsidRDefault="001339FC" w:rsidP="001339FC">
      <w:pPr>
        <w:spacing w:after="0" w:line="240" w:lineRule="auto"/>
        <w:ind w:firstLine="709"/>
        <w:jc w:val="both"/>
        <w:rPr>
          <w:rFonts w:ascii="Times New Roman" w:hAnsi="Times New Roman" w:cs="Times New Roman"/>
          <w:bCs/>
          <w:iCs/>
          <w:sz w:val="24"/>
          <w:szCs w:val="24"/>
          <w:shd w:val="clear" w:color="auto" w:fill="FFFFFF"/>
          <w:lang w:val="en-US"/>
        </w:rPr>
      </w:pPr>
      <w:r w:rsidRPr="001339FC">
        <w:rPr>
          <w:rFonts w:ascii="Times New Roman" w:hAnsi="Times New Roman" w:cs="Times New Roman"/>
          <w:bCs/>
          <w:iCs/>
          <w:sz w:val="24"/>
          <w:szCs w:val="24"/>
          <w:shd w:val="clear" w:color="auto" w:fill="FFFFFF"/>
          <w:lang w:val="en-US"/>
        </w:rPr>
        <w:t>4. Nagornova, M. G. Key aspects of the attractiveness of higher education in Russian universities for foreign students in the conditions of export of education / M. G. Nagornova // Forum of young scientists. – 2020. – No. 7(47). – pp. 206-210</w:t>
      </w:r>
    </w:p>
    <w:p w:rsidR="008023B7" w:rsidRPr="001339FC" w:rsidRDefault="001339FC" w:rsidP="001339FC">
      <w:pPr>
        <w:spacing w:after="0" w:line="240" w:lineRule="auto"/>
        <w:ind w:firstLine="709"/>
        <w:jc w:val="both"/>
      </w:pPr>
      <w:r w:rsidRPr="001339FC">
        <w:rPr>
          <w:rFonts w:ascii="Times New Roman" w:hAnsi="Times New Roman" w:cs="Times New Roman"/>
          <w:bCs/>
          <w:iCs/>
          <w:sz w:val="24"/>
          <w:szCs w:val="24"/>
          <w:shd w:val="clear" w:color="auto" w:fill="FFFFFF"/>
          <w:lang w:val="en-US"/>
        </w:rPr>
        <w:t>5. Attracting foreign students to Russian universities. Practical guide: [monograph] / E. V. Vashurina, O. A. Vershinina, Ch. F. Gazieva, Ya. Sh. Evdokimova, A. A. Krylov, S. A. Mukhamedieva, O. V. Pavlova, F A. Khaidarov. – Ekaterinburg: Ural Publishing House. Univ., 2016. – 234 p.</w:t>
      </w:r>
    </w:p>
    <w:sectPr w:rsidR="008023B7" w:rsidRPr="001339FC">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76537" w:rsidRDefault="00576537">
      <w:pPr>
        <w:spacing w:after="0" w:line="240" w:lineRule="auto"/>
      </w:pPr>
      <w:r>
        <w:separator/>
      </w:r>
    </w:p>
  </w:endnote>
  <w:endnote w:type="continuationSeparator" w:id="0">
    <w:p w:rsidR="00576537" w:rsidRDefault="005765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76537" w:rsidRDefault="00576537">
      <w:pPr>
        <w:spacing w:after="0" w:line="240" w:lineRule="auto"/>
      </w:pPr>
      <w:r>
        <w:separator/>
      </w:r>
    </w:p>
  </w:footnote>
  <w:footnote w:type="continuationSeparator" w:id="0">
    <w:p w:rsidR="00576537" w:rsidRDefault="0057653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02D6A"/>
    <w:multiLevelType w:val="hybridMultilevel"/>
    <w:tmpl w:val="0FF0B91E"/>
    <w:lvl w:ilvl="0" w:tplc="2F621C4A">
      <w:start w:val="1"/>
      <w:numFmt w:val="bullet"/>
      <w:lvlText w:val=""/>
      <w:lvlJc w:val="left"/>
      <w:pPr>
        <w:ind w:left="720" w:hanging="360"/>
      </w:pPr>
      <w:rPr>
        <w:rFonts w:ascii="Wingdings" w:hAnsi="Wingdings" w:hint="default"/>
      </w:rPr>
    </w:lvl>
    <w:lvl w:ilvl="1" w:tplc="C588909E">
      <w:start w:val="1"/>
      <w:numFmt w:val="bullet"/>
      <w:lvlText w:val="o"/>
      <w:lvlJc w:val="left"/>
      <w:pPr>
        <w:ind w:left="1440" w:hanging="360"/>
      </w:pPr>
      <w:rPr>
        <w:rFonts w:ascii="Courier New" w:hAnsi="Courier New" w:cs="Courier New" w:hint="default"/>
      </w:rPr>
    </w:lvl>
    <w:lvl w:ilvl="2" w:tplc="A42A8F50">
      <w:start w:val="1"/>
      <w:numFmt w:val="bullet"/>
      <w:lvlText w:val=""/>
      <w:lvlJc w:val="left"/>
      <w:pPr>
        <w:ind w:left="2160" w:hanging="360"/>
      </w:pPr>
      <w:rPr>
        <w:rFonts w:ascii="Wingdings" w:hAnsi="Wingdings" w:hint="default"/>
      </w:rPr>
    </w:lvl>
    <w:lvl w:ilvl="3" w:tplc="9C6094E4">
      <w:start w:val="1"/>
      <w:numFmt w:val="bullet"/>
      <w:lvlText w:val=""/>
      <w:lvlJc w:val="left"/>
      <w:pPr>
        <w:ind w:left="2880" w:hanging="360"/>
      </w:pPr>
      <w:rPr>
        <w:rFonts w:ascii="Symbol" w:hAnsi="Symbol" w:hint="default"/>
      </w:rPr>
    </w:lvl>
    <w:lvl w:ilvl="4" w:tplc="60C4A9E8">
      <w:start w:val="1"/>
      <w:numFmt w:val="bullet"/>
      <w:lvlText w:val="o"/>
      <w:lvlJc w:val="left"/>
      <w:pPr>
        <w:ind w:left="3600" w:hanging="360"/>
      </w:pPr>
      <w:rPr>
        <w:rFonts w:ascii="Courier New" w:hAnsi="Courier New" w:cs="Courier New" w:hint="default"/>
      </w:rPr>
    </w:lvl>
    <w:lvl w:ilvl="5" w:tplc="9B5242F6">
      <w:start w:val="1"/>
      <w:numFmt w:val="bullet"/>
      <w:lvlText w:val=""/>
      <w:lvlJc w:val="left"/>
      <w:pPr>
        <w:ind w:left="4320" w:hanging="360"/>
      </w:pPr>
      <w:rPr>
        <w:rFonts w:ascii="Wingdings" w:hAnsi="Wingdings" w:hint="default"/>
      </w:rPr>
    </w:lvl>
    <w:lvl w:ilvl="6" w:tplc="408A48CA">
      <w:start w:val="1"/>
      <w:numFmt w:val="bullet"/>
      <w:lvlText w:val=""/>
      <w:lvlJc w:val="left"/>
      <w:pPr>
        <w:ind w:left="5040" w:hanging="360"/>
      </w:pPr>
      <w:rPr>
        <w:rFonts w:ascii="Symbol" w:hAnsi="Symbol" w:hint="default"/>
      </w:rPr>
    </w:lvl>
    <w:lvl w:ilvl="7" w:tplc="003EA49C">
      <w:start w:val="1"/>
      <w:numFmt w:val="bullet"/>
      <w:lvlText w:val="o"/>
      <w:lvlJc w:val="left"/>
      <w:pPr>
        <w:ind w:left="5760" w:hanging="360"/>
      </w:pPr>
      <w:rPr>
        <w:rFonts w:ascii="Courier New" w:hAnsi="Courier New" w:cs="Courier New" w:hint="default"/>
      </w:rPr>
    </w:lvl>
    <w:lvl w:ilvl="8" w:tplc="7C28B19A">
      <w:start w:val="1"/>
      <w:numFmt w:val="bullet"/>
      <w:lvlText w:val=""/>
      <w:lvlJc w:val="left"/>
      <w:pPr>
        <w:ind w:left="6480" w:hanging="360"/>
      </w:pPr>
      <w:rPr>
        <w:rFonts w:ascii="Wingdings" w:hAnsi="Wingdings" w:hint="default"/>
      </w:rPr>
    </w:lvl>
  </w:abstractNum>
  <w:abstractNum w:abstractNumId="1" w15:restartNumberingAfterBreak="0">
    <w:nsid w:val="369C4B37"/>
    <w:multiLevelType w:val="hybridMultilevel"/>
    <w:tmpl w:val="6E3ED4DA"/>
    <w:lvl w:ilvl="0" w:tplc="6F1ADA94">
      <w:start w:val="1"/>
      <w:numFmt w:val="decimal"/>
      <w:lvlText w:val="%1."/>
      <w:lvlJc w:val="left"/>
      <w:pPr>
        <w:ind w:left="709" w:hanging="360"/>
      </w:pPr>
    </w:lvl>
    <w:lvl w:ilvl="1" w:tplc="10B4323A">
      <w:start w:val="1"/>
      <w:numFmt w:val="lowerLetter"/>
      <w:lvlText w:val="%2."/>
      <w:lvlJc w:val="left"/>
      <w:pPr>
        <w:ind w:left="1429" w:hanging="360"/>
      </w:pPr>
    </w:lvl>
    <w:lvl w:ilvl="2" w:tplc="42D8ABDC">
      <w:start w:val="1"/>
      <w:numFmt w:val="lowerRoman"/>
      <w:lvlText w:val="%3."/>
      <w:lvlJc w:val="right"/>
      <w:pPr>
        <w:ind w:left="2149" w:hanging="180"/>
      </w:pPr>
    </w:lvl>
    <w:lvl w:ilvl="3" w:tplc="A92202CE">
      <w:start w:val="1"/>
      <w:numFmt w:val="decimal"/>
      <w:lvlText w:val="%4."/>
      <w:lvlJc w:val="left"/>
      <w:pPr>
        <w:ind w:left="2869" w:hanging="360"/>
      </w:pPr>
    </w:lvl>
    <w:lvl w:ilvl="4" w:tplc="DFA8CA08">
      <w:start w:val="1"/>
      <w:numFmt w:val="lowerLetter"/>
      <w:lvlText w:val="%5."/>
      <w:lvlJc w:val="left"/>
      <w:pPr>
        <w:ind w:left="3589" w:hanging="360"/>
      </w:pPr>
    </w:lvl>
    <w:lvl w:ilvl="5" w:tplc="3362A6DC">
      <w:start w:val="1"/>
      <w:numFmt w:val="lowerRoman"/>
      <w:lvlText w:val="%6."/>
      <w:lvlJc w:val="right"/>
      <w:pPr>
        <w:ind w:left="4309" w:hanging="180"/>
      </w:pPr>
    </w:lvl>
    <w:lvl w:ilvl="6" w:tplc="C948609A">
      <w:start w:val="1"/>
      <w:numFmt w:val="decimal"/>
      <w:lvlText w:val="%7."/>
      <w:lvlJc w:val="left"/>
      <w:pPr>
        <w:ind w:left="5029" w:hanging="360"/>
      </w:pPr>
    </w:lvl>
    <w:lvl w:ilvl="7" w:tplc="722ED3AA">
      <w:start w:val="1"/>
      <w:numFmt w:val="lowerLetter"/>
      <w:lvlText w:val="%8."/>
      <w:lvlJc w:val="left"/>
      <w:pPr>
        <w:ind w:left="5749" w:hanging="360"/>
      </w:pPr>
    </w:lvl>
    <w:lvl w:ilvl="8" w:tplc="B4C69E98">
      <w:start w:val="1"/>
      <w:numFmt w:val="lowerRoman"/>
      <w:lvlText w:val="%9."/>
      <w:lvlJc w:val="right"/>
      <w:pPr>
        <w:ind w:left="6469" w:hanging="180"/>
      </w:pPr>
    </w:lvl>
  </w:abstractNum>
  <w:abstractNum w:abstractNumId="2" w15:restartNumberingAfterBreak="0">
    <w:nsid w:val="4BC63CD5"/>
    <w:multiLevelType w:val="hybridMultilevel"/>
    <w:tmpl w:val="E750832C"/>
    <w:lvl w:ilvl="0" w:tplc="A07E9860">
      <w:start w:val="1"/>
      <w:numFmt w:val="decimal"/>
      <w:lvlText w:val="%1."/>
      <w:lvlJc w:val="left"/>
      <w:pPr>
        <w:ind w:left="1417" w:hanging="360"/>
      </w:pPr>
    </w:lvl>
    <w:lvl w:ilvl="1" w:tplc="42064C08">
      <w:start w:val="1"/>
      <w:numFmt w:val="lowerLetter"/>
      <w:lvlText w:val="%2."/>
      <w:lvlJc w:val="left"/>
      <w:pPr>
        <w:ind w:left="2137" w:hanging="360"/>
      </w:pPr>
    </w:lvl>
    <w:lvl w:ilvl="2" w:tplc="2B7A58DA">
      <w:start w:val="1"/>
      <w:numFmt w:val="lowerRoman"/>
      <w:lvlText w:val="%3."/>
      <w:lvlJc w:val="right"/>
      <w:pPr>
        <w:ind w:left="2857" w:hanging="180"/>
      </w:pPr>
    </w:lvl>
    <w:lvl w:ilvl="3" w:tplc="FDBA869A">
      <w:start w:val="1"/>
      <w:numFmt w:val="decimal"/>
      <w:lvlText w:val="%4."/>
      <w:lvlJc w:val="left"/>
      <w:pPr>
        <w:ind w:left="3577" w:hanging="360"/>
      </w:pPr>
    </w:lvl>
    <w:lvl w:ilvl="4" w:tplc="43E88638">
      <w:start w:val="1"/>
      <w:numFmt w:val="lowerLetter"/>
      <w:lvlText w:val="%5."/>
      <w:lvlJc w:val="left"/>
      <w:pPr>
        <w:ind w:left="4297" w:hanging="360"/>
      </w:pPr>
    </w:lvl>
    <w:lvl w:ilvl="5" w:tplc="BC42C424">
      <w:start w:val="1"/>
      <w:numFmt w:val="lowerRoman"/>
      <w:lvlText w:val="%6."/>
      <w:lvlJc w:val="right"/>
      <w:pPr>
        <w:ind w:left="5017" w:hanging="180"/>
      </w:pPr>
    </w:lvl>
    <w:lvl w:ilvl="6" w:tplc="49548BA4">
      <w:start w:val="1"/>
      <w:numFmt w:val="decimal"/>
      <w:lvlText w:val="%7."/>
      <w:lvlJc w:val="left"/>
      <w:pPr>
        <w:ind w:left="5737" w:hanging="360"/>
      </w:pPr>
    </w:lvl>
    <w:lvl w:ilvl="7" w:tplc="B1D6DA46">
      <w:start w:val="1"/>
      <w:numFmt w:val="lowerLetter"/>
      <w:lvlText w:val="%8."/>
      <w:lvlJc w:val="left"/>
      <w:pPr>
        <w:ind w:left="6457" w:hanging="360"/>
      </w:pPr>
    </w:lvl>
    <w:lvl w:ilvl="8" w:tplc="2AE27D20">
      <w:start w:val="1"/>
      <w:numFmt w:val="lowerRoman"/>
      <w:lvlText w:val="%9."/>
      <w:lvlJc w:val="right"/>
      <w:pPr>
        <w:ind w:left="7177" w:hanging="180"/>
      </w:pPr>
    </w:lvl>
  </w:abstractNum>
  <w:abstractNum w:abstractNumId="3" w15:restartNumberingAfterBreak="0">
    <w:nsid w:val="78F51263"/>
    <w:multiLevelType w:val="hybridMultilevel"/>
    <w:tmpl w:val="08F61AFE"/>
    <w:lvl w:ilvl="0" w:tplc="F70C2BB0">
      <w:start w:val="1"/>
      <w:numFmt w:val="decimal"/>
      <w:lvlText w:val="%1."/>
      <w:lvlJc w:val="left"/>
      <w:pPr>
        <w:ind w:left="1418" w:hanging="360"/>
      </w:pPr>
    </w:lvl>
    <w:lvl w:ilvl="1" w:tplc="7DD279CA">
      <w:start w:val="1"/>
      <w:numFmt w:val="lowerLetter"/>
      <w:lvlText w:val="%2."/>
      <w:lvlJc w:val="left"/>
      <w:pPr>
        <w:ind w:left="2138" w:hanging="360"/>
      </w:pPr>
    </w:lvl>
    <w:lvl w:ilvl="2" w:tplc="98E878C4">
      <w:start w:val="1"/>
      <w:numFmt w:val="lowerRoman"/>
      <w:lvlText w:val="%3."/>
      <w:lvlJc w:val="right"/>
      <w:pPr>
        <w:ind w:left="2858" w:hanging="180"/>
      </w:pPr>
    </w:lvl>
    <w:lvl w:ilvl="3" w:tplc="7876E11A">
      <w:start w:val="1"/>
      <w:numFmt w:val="decimal"/>
      <w:lvlText w:val="%4."/>
      <w:lvlJc w:val="left"/>
      <w:pPr>
        <w:ind w:left="3578" w:hanging="360"/>
      </w:pPr>
    </w:lvl>
    <w:lvl w:ilvl="4" w:tplc="3B269ED8">
      <w:start w:val="1"/>
      <w:numFmt w:val="lowerLetter"/>
      <w:lvlText w:val="%5."/>
      <w:lvlJc w:val="left"/>
      <w:pPr>
        <w:ind w:left="4298" w:hanging="360"/>
      </w:pPr>
    </w:lvl>
    <w:lvl w:ilvl="5" w:tplc="440E62B0">
      <w:start w:val="1"/>
      <w:numFmt w:val="lowerRoman"/>
      <w:lvlText w:val="%6."/>
      <w:lvlJc w:val="right"/>
      <w:pPr>
        <w:ind w:left="5018" w:hanging="180"/>
      </w:pPr>
    </w:lvl>
    <w:lvl w:ilvl="6" w:tplc="602E44B2">
      <w:start w:val="1"/>
      <w:numFmt w:val="decimal"/>
      <w:lvlText w:val="%7."/>
      <w:lvlJc w:val="left"/>
      <w:pPr>
        <w:ind w:left="5738" w:hanging="360"/>
      </w:pPr>
    </w:lvl>
    <w:lvl w:ilvl="7" w:tplc="E2EAA714">
      <w:start w:val="1"/>
      <w:numFmt w:val="lowerLetter"/>
      <w:lvlText w:val="%8."/>
      <w:lvlJc w:val="left"/>
      <w:pPr>
        <w:ind w:left="6458" w:hanging="360"/>
      </w:pPr>
    </w:lvl>
    <w:lvl w:ilvl="8" w:tplc="37A08262">
      <w:start w:val="1"/>
      <w:numFmt w:val="lowerRoman"/>
      <w:lvlText w:val="%9."/>
      <w:lvlJc w:val="right"/>
      <w:pPr>
        <w:ind w:left="7178" w:hanging="18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1"/>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23B7"/>
    <w:rsid w:val="001339FC"/>
    <w:rsid w:val="002701AD"/>
    <w:rsid w:val="0047359D"/>
    <w:rsid w:val="00576537"/>
    <w:rsid w:val="0062783B"/>
    <w:rsid w:val="008023B7"/>
    <w:rsid w:val="008A7E45"/>
    <w:rsid w:val="00992F64"/>
    <w:rsid w:val="00A15395"/>
    <w:rsid w:val="00B000DF"/>
    <w:rsid w:val="00B5549A"/>
    <w:rsid w:val="00BC33A9"/>
    <w:rsid w:val="00D45834"/>
    <w:rsid w:val="00DB1148"/>
    <w:rsid w:val="00E33954"/>
    <w:rsid w:val="00ED1842"/>
    <w:rsid w:val="00F50800"/>
    <w:rsid w:val="00F70604"/>
    <w:rsid w:val="00FD51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702AC22-83B4-4421-B936-5B74207AE1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List Paragraph"/>
    <w:basedOn w:val="a"/>
    <w:uiPriority w:val="34"/>
    <w:qFormat/>
    <w:pPr>
      <w:ind w:left="720"/>
      <w:contextualSpacing/>
    </w:pPr>
  </w:style>
  <w:style w:type="paragraph" w:styleId="a4">
    <w:name w:val="No Spacing"/>
    <w:uiPriority w:val="1"/>
    <w:qFormat/>
    <w:pPr>
      <w:spacing w:after="0" w:line="240" w:lineRule="auto"/>
    </w:pPr>
  </w:style>
  <w:style w:type="paragraph" w:styleId="a5">
    <w:name w:val="Title"/>
    <w:basedOn w:val="a"/>
    <w:next w:val="a"/>
    <w:link w:val="a6"/>
    <w:uiPriority w:val="10"/>
    <w:qFormat/>
    <w:pPr>
      <w:spacing w:before="300" w:after="200"/>
      <w:contextualSpacing/>
    </w:pPr>
    <w:rPr>
      <w:sz w:val="48"/>
      <w:szCs w:val="48"/>
    </w:rPr>
  </w:style>
  <w:style w:type="character" w:customStyle="1" w:styleId="a6">
    <w:name w:val="Название Знак"/>
    <w:basedOn w:val="a0"/>
    <w:link w:val="a5"/>
    <w:uiPriority w:val="10"/>
    <w:rPr>
      <w:sz w:val="48"/>
      <w:szCs w:val="48"/>
    </w:rPr>
  </w:style>
  <w:style w:type="paragraph" w:styleId="a7">
    <w:name w:val="Subtitle"/>
    <w:basedOn w:val="a"/>
    <w:next w:val="a"/>
    <w:link w:val="a8"/>
    <w:uiPriority w:val="11"/>
    <w:qFormat/>
    <w:pPr>
      <w:spacing w:before="200" w:after="200"/>
    </w:pPr>
    <w:rPr>
      <w:sz w:val="24"/>
      <w:szCs w:val="24"/>
    </w:rPr>
  </w:style>
  <w:style w:type="character" w:customStyle="1" w:styleId="a8">
    <w:name w:val="Подзаголовок Знак"/>
    <w:basedOn w:val="a0"/>
    <w:link w:val="a7"/>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header"/>
    <w:basedOn w:val="a"/>
    <w:link w:val="ac"/>
    <w:uiPriority w:val="99"/>
    <w:unhideWhenUsed/>
    <w:pPr>
      <w:tabs>
        <w:tab w:val="center" w:pos="7143"/>
        <w:tab w:val="right" w:pos="14287"/>
      </w:tabs>
      <w:spacing w:after="0" w:line="240" w:lineRule="auto"/>
    </w:pPr>
  </w:style>
  <w:style w:type="character" w:customStyle="1" w:styleId="ac">
    <w:name w:val="Верхний колонтитул Знак"/>
    <w:basedOn w:val="a0"/>
    <w:link w:val="ab"/>
    <w:uiPriority w:val="99"/>
  </w:style>
  <w:style w:type="paragraph" w:styleId="ad">
    <w:name w:val="footer"/>
    <w:basedOn w:val="a"/>
    <w:link w:val="ae"/>
    <w:uiPriority w:val="99"/>
    <w:unhideWhenUsed/>
    <w:pPr>
      <w:tabs>
        <w:tab w:val="center" w:pos="7143"/>
        <w:tab w:val="right" w:pos="14287"/>
      </w:tabs>
      <w:spacing w:after="0" w:line="240" w:lineRule="auto"/>
    </w:pPr>
  </w:style>
  <w:style w:type="character" w:customStyle="1" w:styleId="FooterChar">
    <w:name w:val="Footer Char"/>
    <w:basedOn w:val="a0"/>
    <w:uiPriority w:val="99"/>
  </w:style>
  <w:style w:type="paragraph" w:styleId="af">
    <w:name w:val="caption"/>
    <w:basedOn w:val="a"/>
    <w:next w:val="a"/>
    <w:uiPriority w:val="35"/>
    <w:semiHidden/>
    <w:unhideWhenUsed/>
    <w:qFormat/>
    <w:pPr>
      <w:spacing w:line="276" w:lineRule="auto"/>
    </w:pPr>
    <w:rPr>
      <w:b/>
      <w:bCs/>
      <w:color w:val="4472C4" w:themeColor="accent1"/>
      <w:sz w:val="18"/>
      <w:szCs w:val="18"/>
    </w:rPr>
  </w:style>
  <w:style w:type="character" w:customStyle="1" w:styleId="ae">
    <w:name w:val="Нижний колонтитул Знак"/>
    <w:link w:val="ad"/>
    <w:uiPriority w:val="99"/>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FFFFFF" w:fill="auto"/>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FFFFFF" w:fill="auto"/>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537DC8" w:themeColor="accent1" w:themeTint="EA" w:fill="537DC8" w:themeFill="accent1" w:themeFillTint="EA"/>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3F3" w:themeColor="accent1" w:themeTint="32" w:fill="DAE3F3" w:themeFill="accent1" w:themeFillTint="32"/>
      </w:tcPr>
    </w:tblStylePr>
    <w:tblStylePr w:type="band1Horz">
      <w:rPr>
        <w:rFonts w:ascii="Arial" w:hAnsi="Arial"/>
        <w:color w:val="404040"/>
        <w:sz w:val="22"/>
      </w:rPr>
      <w:tblPr/>
      <w:tcPr>
        <w:shd w:val="clear" w:color="DAE3F3" w:themeColor="accent1" w:themeTint="32" w:fill="DAE3F3"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5B9BD5" w:themeColor="accent5" w:fill="5B9BD5" w:themeFill="accent5"/>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1" w:themeTint="34" w:fill="D8E2F3" w:themeFill="accent1" w:themeFillTint="34"/>
    </w:tblPr>
    <w:tblStylePr w:type="firstRow">
      <w:rPr>
        <w:rFonts w:ascii="Arial" w:hAnsi="Arial"/>
        <w:b/>
        <w:color w:val="FFFFFF"/>
        <w:sz w:val="22"/>
      </w:rPr>
      <w:tblPr/>
      <w:tcPr>
        <w:shd w:val="clear" w:color="4472C4" w:themeColor="accent1" w:fill="4472C4" w:themeFill="accent1"/>
      </w:tcPr>
    </w:tblStylePr>
    <w:tblStylePr w:type="lastRow">
      <w:rPr>
        <w:rFonts w:ascii="Arial" w:hAnsi="Arial"/>
        <w:b/>
        <w:color w:val="FFFFFF"/>
        <w:sz w:val="22"/>
      </w:rPr>
      <w:tblPr/>
      <w:tcPr>
        <w:tcBorders>
          <w:top w:val="single" w:sz="4" w:space="0" w:color="FFFFFF" w:themeColor="light1"/>
        </w:tcBorders>
        <w:shd w:val="clear" w:color="4472C4" w:themeColor="accent1" w:fill="4472C4" w:themeFill="accent1"/>
      </w:tcPr>
    </w:tblStylePr>
    <w:tblStylePr w:type="firstCol">
      <w:rPr>
        <w:rFonts w:ascii="Arial" w:hAnsi="Arial"/>
        <w:b/>
        <w:color w:val="FFFFFF"/>
        <w:sz w:val="22"/>
      </w:rPr>
      <w:tblPr/>
      <w:tcPr>
        <w:shd w:val="clear" w:color="4472C4" w:themeColor="accent1" w:fill="4472C4" w:themeFill="accent1"/>
      </w:tcPr>
    </w:tblStylePr>
    <w:tblStylePr w:type="lastCol">
      <w:rPr>
        <w:rFonts w:ascii="Arial" w:hAnsi="Arial"/>
        <w:b/>
        <w:color w:val="FFFFFF"/>
        <w:sz w:val="22"/>
      </w:rPr>
      <w:tblPr/>
      <w:tcPr>
        <w:shd w:val="clear" w:color="4472C4" w:themeColor="accent1" w:fill="4472C4" w:themeFill="accent1"/>
      </w:tcPr>
    </w:tblStylePr>
    <w:tblStylePr w:type="band1Vert">
      <w:tblPr/>
      <w:tcPr>
        <w:shd w:val="clear" w:color="A9BEE4" w:themeColor="accent1" w:themeTint="75" w:fill="A9BEE4" w:themeFill="accent1" w:themeFillTint="75"/>
      </w:tcPr>
    </w:tblStylePr>
    <w:tblStylePr w:type="band1Horz">
      <w:tblPr/>
      <w:tcPr>
        <w:shd w:val="clear" w:color="A9BEE4" w:themeColor="accent1" w:themeTint="75" w:fill="A9BEE4"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5" w:themeTint="34" w:fill="DDEAF6" w:themeFill="accent5" w:themeFillTint="34"/>
    </w:tblPr>
    <w:tblStylePr w:type="firstRow">
      <w:rPr>
        <w:rFonts w:ascii="Arial" w:hAnsi="Arial"/>
        <w:b/>
        <w:color w:val="FFFFFF"/>
        <w:sz w:val="22"/>
      </w:rPr>
      <w:tblPr/>
      <w:tcPr>
        <w:shd w:val="clear" w:color="5B9BD5" w:themeColor="accent5" w:fill="5B9BD5" w:themeFill="accent5"/>
      </w:tcPr>
    </w:tblStylePr>
    <w:tblStylePr w:type="lastRow">
      <w:rPr>
        <w:rFonts w:ascii="Arial" w:hAnsi="Arial"/>
        <w:b/>
        <w:color w:val="FFFFFF"/>
        <w:sz w:val="22"/>
      </w:rPr>
      <w:tblPr/>
      <w:tcPr>
        <w:tcBorders>
          <w:top w:val="single" w:sz="4" w:space="0" w:color="FFFFFF" w:themeColor="light1"/>
        </w:tcBorders>
        <w:shd w:val="clear" w:color="5B9BD5" w:themeColor="accent5" w:fill="5B9BD5" w:themeFill="accent5"/>
      </w:tcPr>
    </w:tblStylePr>
    <w:tblStylePr w:type="firstCol">
      <w:rPr>
        <w:rFonts w:ascii="Arial" w:hAnsi="Arial"/>
        <w:b/>
        <w:color w:val="FFFFFF"/>
        <w:sz w:val="22"/>
      </w:rPr>
      <w:tblPr/>
      <w:tcPr>
        <w:shd w:val="clear" w:color="5B9BD5" w:themeColor="accent5" w:fill="5B9BD5" w:themeFill="accent5"/>
      </w:tcPr>
    </w:tblStylePr>
    <w:tblStylePr w:type="lastCol">
      <w:rPr>
        <w:rFonts w:ascii="Arial" w:hAnsi="Arial"/>
        <w:b/>
        <w:color w:val="FFFFFF"/>
        <w:sz w:val="22"/>
      </w:rPr>
      <w:tblPr/>
      <w:tcPr>
        <w:shd w:val="clear" w:color="5B9BD5" w:themeColor="accent5" w:fill="5B9BD5" w:themeFill="accent5"/>
      </w:tcPr>
    </w:tblStylePr>
    <w:tblStylePr w:type="band1Vert">
      <w:tblPr/>
      <w:tcPr>
        <w:shd w:val="clear" w:color="B3D0EB" w:themeColor="accent5" w:themeTint="75" w:fill="B3D0EB" w:themeFill="accent5" w:themeFillTint="75"/>
      </w:tcPr>
    </w:tblStylePr>
    <w:tblStylePr w:type="band1Horz">
      <w:tblPr/>
      <w:tcPr>
        <w:shd w:val="clear" w:color="B3D0EB" w:themeColor="accent5" w:themeTint="75" w:fill="B3D0EB"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45A8D" w:themeColor="accent5" w:themeShade="95"/>
        <w:sz w:val="22"/>
      </w:rPr>
      <w:tblPr/>
      <w:tcPr>
        <w:shd w:val="clear" w:color="E1EFD8" w:themeColor="accent6" w:themeTint="34" w:fill="E1EFD8" w:themeFill="accent6" w:themeFillTint="34"/>
      </w:tcPr>
    </w:tblStylePr>
    <w:tblStylePr w:type="band2Horz">
      <w:rPr>
        <w:rFonts w:ascii="Arial" w:hAnsi="Arial"/>
        <w:color w:val="245A8D"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4" w:space="0" w:color="000000"/>
          <w:left w:val="none" w:sz="4" w:space="0" w:color="000000"/>
          <w:bottom w:val="single" w:sz="4" w:space="0" w:color="A0B7E1" w:themeColor="accent1" w:themeTint="80"/>
          <w:right w:val="none" w:sz="4" w:space="0" w:color="000000"/>
        </w:tcBorders>
        <w:shd w:val="clear" w:color="FFFFFF" w:themeColor="light1" w:fill="FFFFFF" w:themeFill="light1"/>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0B7E1" w:themeColor="accent1" w:themeTint="80" w:themeShade="95"/>
        <w:sz w:val="22"/>
      </w:rPr>
      <w:tblPr/>
      <w:tcPr>
        <w:tcBorders>
          <w:top w:val="none" w:sz="4" w:space="0" w:color="000000"/>
          <w:left w:val="none" w:sz="4" w:space="0" w:color="000000"/>
          <w:bottom w:val="none" w:sz="4" w:space="0" w:color="000000"/>
          <w:right w:val="single" w:sz="4" w:space="0" w:color="A0B7E1" w:themeColor="accent1" w:themeTint="80"/>
        </w:tcBorders>
        <w:shd w:val="clear" w:color="FFFFFF" w:fill="auto"/>
      </w:tcPr>
    </w:tblStylePr>
    <w:tblStylePr w:type="lastCol">
      <w:rPr>
        <w:rFonts w:ascii="Arial" w:hAnsi="Arial"/>
        <w:i/>
        <w:color w:val="A0B7E1" w:themeColor="accent1" w:themeTint="80" w:themeShade="95"/>
        <w:sz w:val="22"/>
      </w:rPr>
      <w:tblPr/>
      <w:tcPr>
        <w:tcBorders>
          <w:top w:val="none" w:sz="4" w:space="0" w:color="000000"/>
          <w:left w:val="single" w:sz="4" w:space="0" w:color="A0B7E1" w:themeColor="accent1" w:themeTint="80"/>
          <w:bottom w:val="none" w:sz="4" w:space="0" w:color="000000"/>
          <w:right w:val="none" w:sz="4" w:space="0" w:color="000000"/>
        </w:tcBorders>
        <w:shd w:val="clear" w:color="FFFFFF" w:fill="auto"/>
      </w:tc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4" w:space="0" w:color="000000"/>
          <w:left w:val="none" w:sz="4" w:space="0" w:color="000000"/>
          <w:bottom w:val="single" w:sz="4" w:space="0" w:color="A2C6E7" w:themeColor="accent5" w:themeTint="90"/>
          <w:right w:val="none" w:sz="4" w:space="0" w:color="000000"/>
        </w:tcBorders>
        <w:shd w:val="clear" w:color="FFFFFF" w:themeColor="light1" w:fill="FFFFFF" w:themeFill="light1"/>
      </w:tcPr>
    </w:tblStylePr>
    <w:tblStylePr w:type="lastRow">
      <w:rPr>
        <w:rFonts w:ascii="Arial" w:hAnsi="Arial"/>
        <w:b/>
        <w:color w:val="245A8D" w:themeColor="accent5" w:themeShade="95"/>
        <w:sz w:val="22"/>
      </w:rPr>
      <w:tblPr/>
      <w:tcPr>
        <w:tcBorders>
          <w:top w:val="single" w:sz="4" w:space="0" w:color="A2C6E7"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5" w:themeShade="95"/>
        <w:sz w:val="22"/>
      </w:rPr>
      <w:tblPr/>
      <w:tcPr>
        <w:tcBorders>
          <w:top w:val="none" w:sz="4" w:space="0" w:color="000000"/>
          <w:left w:val="none" w:sz="4" w:space="0" w:color="000000"/>
          <w:bottom w:val="none" w:sz="4" w:space="0" w:color="000000"/>
          <w:right w:val="single" w:sz="4" w:space="0" w:color="A2C6E7" w:themeColor="accent5" w:themeTint="90"/>
        </w:tcBorders>
        <w:shd w:val="clear" w:color="FFFFFF" w:fill="auto"/>
      </w:tcPr>
    </w:tblStylePr>
    <w:tblStylePr w:type="lastCol">
      <w:rPr>
        <w:rFonts w:ascii="Arial" w:hAnsi="Arial"/>
        <w:i/>
        <w:color w:val="245A8D" w:themeColor="accent5" w:themeShade="95"/>
        <w:sz w:val="22"/>
      </w:rPr>
      <w:tblPr/>
      <w:tcPr>
        <w:tcBorders>
          <w:top w:val="none" w:sz="4" w:space="0" w:color="000000"/>
          <w:left w:val="single" w:sz="4" w:space="0" w:color="A2C6E7" w:themeColor="accent5" w:themeTint="90"/>
          <w:bottom w:val="none" w:sz="4" w:space="0" w:color="000000"/>
          <w:right w:val="none" w:sz="4" w:space="0" w:color="000000"/>
        </w:tcBorders>
        <w:shd w:val="clear" w:color="FFFFFF" w:fill="auto"/>
      </w:tc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1" w:themeTint="40" w:fill="CFDBF0" w:themeFill="accent1" w:themeFillTint="40"/>
      </w:tcPr>
    </w:tblStylePr>
    <w:tblStylePr w:type="band1Horz">
      <w:tblPr/>
      <w:tcPr>
        <w:shd w:val="clear" w:color="CFDBF0" w:themeColor="accent1" w:themeTint="40" w:fill="CFDBF0"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5" w:themeTint="40" w:fill="D5E5F4" w:themeFill="accent5" w:themeFillTint="40"/>
      </w:tcPr>
    </w:tblStylePr>
    <w:tblStylePr w:type="band1Horz">
      <w:tblPr/>
      <w:tcPr>
        <w:shd w:val="clear" w:color="D5E5F4" w:themeColor="accent5" w:themeTint="40" w:fill="D5E5F4"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9BC2E5" w:themeColor="accent5" w:themeTint="9A" w:fill="9BC2E5"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5B9BD5" w:themeColor="accent5" w:fill="5B9BD5"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4472C4" w:themeColor="accent1" w:fill="4472C4" w:themeFill="accent1"/>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4472C4" w:themeColor="accent1" w:fill="4472C4"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4472C4" w:themeColor="accent1" w:fill="4472C4"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472C4" w:themeColor="accent1" w:fill="4472C4" w:themeFill="accent1"/>
      </w:tcPr>
    </w:tblStylePr>
    <w:tblStylePr w:type="band2Horz">
      <w:tblPr/>
      <w:tcPr>
        <w:tcBorders>
          <w:top w:val="single" w:sz="4" w:space="0" w:color="FFFFFF" w:themeColor="light1"/>
          <w:bottom w:val="single" w:sz="4" w:space="0" w:color="FFFFFF" w:themeColor="light1"/>
        </w:tcBorders>
        <w:shd w:val="clear" w:color="4472C4" w:themeColor="accent1" w:fill="4472C4"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9BC2E5" w:themeColor="accent5" w:themeTint="9A" w:fill="9BC2E5" w:themeFill="accent5" w:themeFillTint="9A"/>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9BC2E5" w:themeColor="accent5" w:themeTint="9A" w:fill="9BC2E5"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9BC2E5" w:themeColor="accent5" w:themeTint="9A" w:fill="9BC2E5"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tblStylePr w:type="band2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4" w:space="0" w:color="000000"/>
          <w:left w:val="none" w:sz="4" w:space="0" w:color="000000"/>
          <w:bottom w:val="single" w:sz="4" w:space="0" w:color="4472C4" w:themeColor="accent1"/>
          <w:right w:val="none" w:sz="4" w:space="0" w:color="000000"/>
        </w:tcBorders>
        <w:shd w:val="clear" w:color="FFFFFF" w:themeColor="light1" w:fill="FFFFFF" w:themeFill="light1"/>
      </w:tcPr>
    </w:tblStylePr>
    <w:tblStylePr w:type="lastRow">
      <w:rPr>
        <w:rFonts w:ascii="Arial" w:hAnsi="Arial"/>
        <w:i/>
        <w:color w:val="254175" w:themeColor="accent1" w:themeShade="95"/>
        <w:sz w:val="22"/>
      </w:rPr>
      <w:tblPr/>
      <w:tcPr>
        <w:tcBorders>
          <w:top w:val="single" w:sz="4" w:space="0" w:color="4472C4"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1" w:themeShade="95"/>
        <w:sz w:val="22"/>
      </w:rPr>
      <w:tblPr/>
      <w:tcPr>
        <w:tcBorders>
          <w:top w:val="none" w:sz="4" w:space="0" w:color="000000"/>
          <w:left w:val="none" w:sz="4" w:space="0" w:color="000000"/>
          <w:bottom w:val="none" w:sz="4" w:space="0" w:color="000000"/>
          <w:right w:val="single" w:sz="4" w:space="0" w:color="4472C4" w:themeColor="accent1"/>
        </w:tcBorders>
        <w:shd w:val="clear" w:color="FFFFFF" w:fill="auto"/>
      </w:tcPr>
    </w:tblStylePr>
    <w:tblStylePr w:type="lastCol">
      <w:rPr>
        <w:rFonts w:ascii="Arial" w:hAnsi="Arial"/>
        <w:i/>
        <w:color w:val="254175" w:themeColor="accent1" w:themeShade="95"/>
        <w:sz w:val="22"/>
      </w:rPr>
      <w:tblPr/>
      <w:tcPr>
        <w:tcBorders>
          <w:top w:val="none" w:sz="4" w:space="0" w:color="000000"/>
          <w:left w:val="single" w:sz="4" w:space="0" w:color="4472C4" w:themeColor="accent1"/>
          <w:bottom w:val="none" w:sz="4" w:space="0" w:color="000000"/>
          <w:right w:val="none" w:sz="4" w:space="0" w:color="000000"/>
        </w:tcBorders>
        <w:shd w:val="clear" w:color="FFFFFF" w:fill="auto"/>
      </w:tc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4" w:space="0" w:color="000000"/>
          <w:left w:val="none" w:sz="4" w:space="0" w:color="000000"/>
          <w:bottom w:val="single" w:sz="4" w:space="0" w:color="9BC2E5" w:themeColor="accent5" w:themeTint="9A"/>
          <w:right w:val="none" w:sz="4" w:space="0" w:color="000000"/>
        </w:tcBorders>
        <w:shd w:val="clear" w:color="FFFFFF" w:themeColor="light1" w:fill="FFFFFF" w:themeFill="light1"/>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BC2E5" w:themeColor="accent5" w:themeTint="9A" w:themeShade="95"/>
        <w:sz w:val="22"/>
      </w:rPr>
      <w:tblPr/>
      <w:tcPr>
        <w:tcBorders>
          <w:top w:val="none" w:sz="4" w:space="0" w:color="000000"/>
          <w:left w:val="none" w:sz="4" w:space="0" w:color="000000"/>
          <w:bottom w:val="none" w:sz="4" w:space="0" w:color="000000"/>
          <w:right w:val="single" w:sz="4" w:space="0" w:color="9BC2E5" w:themeColor="accent5" w:themeTint="9A"/>
        </w:tcBorders>
        <w:shd w:val="clear" w:color="FFFFFF" w:fill="auto"/>
      </w:tcPr>
    </w:tblStylePr>
    <w:tblStylePr w:type="lastCol">
      <w:rPr>
        <w:rFonts w:ascii="Arial" w:hAnsi="Arial"/>
        <w:i/>
        <w:color w:val="9BC2E5" w:themeColor="accent5" w:themeTint="9A" w:themeShade="95"/>
        <w:sz w:val="22"/>
      </w:rPr>
      <w:tblPr/>
      <w:tcPr>
        <w:tcBorders>
          <w:top w:val="none" w:sz="4" w:space="0" w:color="000000"/>
          <w:left w:val="single" w:sz="4" w:space="0" w:color="9BC2E5" w:themeColor="accent5" w:themeTint="9A"/>
          <w:bottom w:val="none" w:sz="4" w:space="0" w:color="000000"/>
          <w:right w:val="none" w:sz="4" w:space="0" w:color="000000"/>
        </w:tcBorders>
        <w:shd w:val="clear" w:color="FFFFFF" w:fill="auto"/>
      </w:tc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1" w:themeShade="95"/>
        <w:left w:val="single" w:sz="4" w:space="0" w:color="254175" w:themeColor="accent1" w:themeShade="95"/>
        <w:bottom w:val="single" w:sz="4" w:space="0" w:color="254175" w:themeColor="accent1" w:themeShade="95"/>
        <w:right w:val="single" w:sz="4" w:space="0" w:color="254175" w:themeColor="accent1" w:themeShade="95"/>
        <w:insideH w:val="single" w:sz="4" w:space="0" w:color="254175" w:themeColor="accent1" w:themeShade="95"/>
        <w:insideV w:val="single" w:sz="4" w:space="0" w:color="254175" w:themeColor="accent1" w:themeShade="95"/>
      </w:tblBorders>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5" w:themeShade="95"/>
        <w:left w:val="single" w:sz="4" w:space="0" w:color="245A8D" w:themeColor="accent5" w:themeShade="95"/>
        <w:bottom w:val="single" w:sz="4" w:space="0" w:color="245A8D" w:themeColor="accent5" w:themeShade="95"/>
        <w:right w:val="single" w:sz="4" w:space="0" w:color="245A8D" w:themeColor="accent5" w:themeShade="95"/>
        <w:insideH w:val="single" w:sz="4" w:space="0" w:color="245A8D" w:themeColor="accent5" w:themeShade="95"/>
        <w:insideV w:val="single" w:sz="4" w:space="0" w:color="245A8D" w:themeColor="accent5" w:themeShade="95"/>
      </w:tblBorders>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rFonts w:ascii="Arial" w:hAnsi="Arial"/>
        <w:color w:val="404040"/>
        <w:sz w:val="22"/>
      </w:rPr>
      <w:tblPr/>
      <w:tcPr>
        <w:tcBorders>
          <w:bottom w:val="single" w:sz="12" w:space="0" w:color="4472C4" w:themeColor="accent1"/>
        </w:tcBorders>
      </w:tcPr>
    </w:tblStylePr>
    <w:tblStylePr w:type="lastRow">
      <w:rPr>
        <w:rFonts w:ascii="Arial" w:hAnsi="Arial"/>
        <w:color w:val="404040"/>
        <w:sz w:val="22"/>
      </w:rPr>
      <w:tblPr/>
      <w:tcPr>
        <w:tcBorders>
          <w:top w:val="single" w:sz="12" w:space="0" w:color="4472C4"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472C4" w:themeColor="accent1"/>
        </w:tcBorders>
      </w:tc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rFonts w:ascii="Arial" w:hAnsi="Arial"/>
        <w:color w:val="404040"/>
        <w:sz w:val="22"/>
      </w:rPr>
      <w:tblPr/>
      <w:tcPr>
        <w:tcBorders>
          <w:bottom w:val="single" w:sz="12" w:space="0" w:color="9BC2E5" w:themeColor="accent5" w:themeTint="9A"/>
        </w:tcBorders>
      </w:tcPr>
    </w:tblStylePr>
    <w:tblStylePr w:type="lastRow">
      <w:rPr>
        <w:rFonts w:ascii="Arial" w:hAnsi="Arial"/>
        <w:color w:val="404040"/>
        <w:sz w:val="22"/>
      </w:rPr>
      <w:tblPr/>
      <w:tcPr>
        <w:tcBorders>
          <w:top w:val="single" w:sz="12" w:space="0" w:color="9BC2E5"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BC2E5" w:themeColor="accent5" w:themeTint="9A"/>
        </w:tcBorders>
      </w:tc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0">
    <w:name w:val="Hyperlink"/>
    <w:uiPriority w:val="99"/>
    <w:unhideWhenUsed/>
    <w:rPr>
      <w:color w:val="0563C1" w:themeColor="hyperlink"/>
      <w:u w:val="single"/>
    </w:rPr>
  </w:style>
  <w:style w:type="character" w:customStyle="1" w:styleId="FootnoteTextChar">
    <w:name w:val="Footnote Text Char"/>
    <w:uiPriority w:val="99"/>
    <w:rPr>
      <w:sz w:val="18"/>
    </w:rPr>
  </w:style>
  <w:style w:type="paragraph" w:styleId="af1">
    <w:name w:val="endnote text"/>
    <w:basedOn w:val="a"/>
    <w:link w:val="af2"/>
    <w:uiPriority w:val="99"/>
    <w:semiHidden/>
    <w:unhideWhenUsed/>
    <w:pPr>
      <w:spacing w:after="0" w:line="240" w:lineRule="auto"/>
    </w:pPr>
    <w:rPr>
      <w:sz w:val="20"/>
    </w:rPr>
  </w:style>
  <w:style w:type="character" w:customStyle="1" w:styleId="af2">
    <w:name w:val="Текст концевой сноски Знак"/>
    <w:link w:val="af1"/>
    <w:uiPriority w:val="99"/>
    <w:rPr>
      <w:sz w:val="20"/>
    </w:rPr>
  </w:style>
  <w:style w:type="character" w:styleId="af3">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4">
    <w:name w:val="TOC Heading"/>
    <w:uiPriority w:val="39"/>
    <w:unhideWhenUsed/>
  </w:style>
  <w:style w:type="paragraph" w:styleId="af5">
    <w:name w:val="table of figures"/>
    <w:basedOn w:val="a"/>
    <w:next w:val="a"/>
    <w:uiPriority w:val="99"/>
    <w:unhideWhenUsed/>
    <w:pPr>
      <w:spacing w:after="0"/>
    </w:pPr>
  </w:style>
  <w:style w:type="paragraph" w:customStyle="1" w:styleId="af6">
    <w:name w:val="Таблица ГОСТ"/>
    <w:basedOn w:val="a"/>
    <w:link w:val="af7"/>
    <w:qFormat/>
    <w:pPr>
      <w:keepNext/>
      <w:spacing w:after="0" w:line="240" w:lineRule="auto"/>
    </w:pPr>
    <w:rPr>
      <w:rFonts w:ascii="Times New Roman" w:eastAsia="Times New Roman" w:hAnsi="Times New Roman" w:cs="Times New Roman"/>
      <w:sz w:val="24"/>
      <w:szCs w:val="24"/>
      <w:lang w:eastAsia="ru-RU"/>
    </w:rPr>
  </w:style>
  <w:style w:type="character" w:customStyle="1" w:styleId="af7">
    <w:name w:val="Таблица ГОСТ Знак"/>
    <w:basedOn w:val="a0"/>
    <w:link w:val="af6"/>
    <w:rPr>
      <w:rFonts w:ascii="Times New Roman" w:eastAsia="Times New Roman" w:hAnsi="Times New Roman" w:cs="Times New Roman"/>
      <w:sz w:val="24"/>
      <w:szCs w:val="24"/>
      <w:lang w:eastAsia="ru-RU"/>
    </w:rPr>
  </w:style>
  <w:style w:type="paragraph" w:customStyle="1" w:styleId="af8">
    <w:name w:val="Рисунки в статье"/>
    <w:basedOn w:val="a"/>
    <w:link w:val="af9"/>
    <w:qFormat/>
    <w:pPr>
      <w:spacing w:after="0" w:line="240" w:lineRule="auto"/>
      <w:jc w:val="center"/>
    </w:pPr>
    <w:rPr>
      <w:rFonts w:ascii="Times New Roman" w:hAnsi="Times New Roman" w:cs="Times New Roman"/>
      <w:sz w:val="28"/>
      <w:szCs w:val="28"/>
    </w:rPr>
  </w:style>
  <w:style w:type="character" w:customStyle="1" w:styleId="af9">
    <w:name w:val="Рисунки в статье Знак"/>
    <w:basedOn w:val="a0"/>
    <w:link w:val="af8"/>
    <w:rPr>
      <w:rFonts w:ascii="Times New Roman" w:hAnsi="Times New Roman" w:cs="Times New Roman"/>
      <w:sz w:val="28"/>
      <w:szCs w:val="28"/>
    </w:rPr>
  </w:style>
  <w:style w:type="table" w:styleId="afa">
    <w:name w:val="Table Grid"/>
    <w:basedOn w:val="a1"/>
    <w:uiPriority w:val="39"/>
    <w:qFormat/>
    <w:pPr>
      <w:spacing w:after="0" w:line="240" w:lineRule="auto"/>
      <w:jc w:val="both"/>
    </w:pPr>
    <w:rPr>
      <w:rFonts w:ascii="Times New Roman" w:hAnsi="Times New Roman" w:cs="Times New Roman"/>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b">
    <w:name w:val="footnote text"/>
    <w:aliases w:val="Знак Знак Знак Знак Знак Знак Знак Знак Знак,Знак Знак Знак Знак Знак Знак,Текст сноски Знак1 Знак,Текст сноски Знак Знак Знак,Текст сноски Знак1 Знак Знак Знак,Текст сноски Знак Знак Знак Знак Знак,????? ?????? ????,Текст сноски-FN,ft Зн,-"/>
    <w:basedOn w:val="a"/>
    <w:link w:val="afc"/>
    <w:uiPriority w:val="99"/>
    <w:unhideWhenUsed/>
    <w:qFormat/>
    <w:pPr>
      <w:spacing w:after="0" w:line="240" w:lineRule="auto"/>
      <w:jc w:val="both"/>
    </w:pPr>
    <w:rPr>
      <w:rFonts w:ascii="Times New Roman" w:hAnsi="Times New Roman" w:cs="Times New Roman"/>
      <w:sz w:val="20"/>
      <w:szCs w:val="20"/>
    </w:rPr>
  </w:style>
  <w:style w:type="character" w:customStyle="1" w:styleId="afc">
    <w:name w:val="Текст сноски Знак"/>
    <w:aliases w:val="Знак Знак Знак Знак Знак Знак Знак Знак Знак Знак,Знак Знак Знак Знак Знак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w:basedOn w:val="a0"/>
    <w:link w:val="afb"/>
    <w:uiPriority w:val="99"/>
    <w:qFormat/>
    <w:rPr>
      <w:rFonts w:ascii="Times New Roman" w:hAnsi="Times New Roman" w:cs="Times New Roman"/>
      <w:sz w:val="20"/>
      <w:szCs w:val="20"/>
    </w:rPr>
  </w:style>
  <w:style w:type="character" w:styleId="afd">
    <w:name w:val="footnote reference"/>
    <w:aliases w:val="Знак сноски-FN,ftref,Знак сноски 1,Ciae niinee-FN,Referencia nota al pie,fr,Used by Word for Help footnote symbols,Ciae niinee 1,SUPERS,Ссылка на сноску 45,Appel note de bas de page,Ref,de nota al pie,16 Point Знак,Superscript 6 Point Знак"/>
    <w:basedOn w:val="a0"/>
    <w:link w:val="FootnoteReference1"/>
    <w:uiPriority w:val="99"/>
    <w:unhideWhenUsed/>
    <w:qFormat/>
    <w:rPr>
      <w:vertAlign w:val="superscript"/>
    </w:rPr>
  </w:style>
  <w:style w:type="paragraph" w:styleId="afe">
    <w:name w:val="Normal (Web)"/>
    <w:aliases w:val="Обычный (Web),Обычный (Web)1,Обычный (веб)1,Обычный (веб) Знак,Обычный (веб) Знак1,Обычный (веб) Знак Знак,Заголовок 3 Знак Знак,Знак2 Знак Знак Знак,Знак2 Знак Знак,Знак2 Знак Знак Знак1"/>
    <w:basedOn w:val="a"/>
    <w:link w:val="25"/>
    <w:uiPriority w:val="99"/>
    <w:unhideWhenUsed/>
    <w:rsid w:val="00E33954"/>
    <w:pPr>
      <w:spacing w:before="100" w:beforeAutospacing="1" w:after="100" w:afterAutospacing="1" w:line="240" w:lineRule="auto"/>
    </w:pPr>
    <w:rPr>
      <w:rFonts w:ascii="Times New Roman" w:eastAsia="Times New Roman" w:hAnsi="Times New Roman" w:cs="Times New Roman"/>
      <w:sz w:val="24"/>
      <w:szCs w:val="24"/>
      <w:lang w:val="x-none" w:eastAsia="ru-RU"/>
    </w:rPr>
  </w:style>
  <w:style w:type="paragraph" w:customStyle="1" w:styleId="FootnoteReference1">
    <w:name w:val="Footnote Reference1"/>
    <w:basedOn w:val="a"/>
    <w:link w:val="afd"/>
    <w:uiPriority w:val="99"/>
    <w:rsid w:val="00E33954"/>
    <w:pPr>
      <w:spacing w:line="264" w:lineRule="auto"/>
    </w:pPr>
    <w:rPr>
      <w:vertAlign w:val="superscript"/>
    </w:rPr>
  </w:style>
  <w:style w:type="character" w:customStyle="1" w:styleId="25">
    <w:name w:val="Обычный (веб) Знак2"/>
    <w:aliases w:val="Обычный (Web) Знак,Обычный (Web)1 Знак,Обычный (веб)1 Знак,Обычный (веб) Знак Знак1,Обычный (веб) Знак1 Знак,Обычный (веб) Знак Знак Знак,Заголовок 3 Знак Знак Знак,Знак2 Знак Знак Знак Знак,Знак2 Знак Знак Знак2"/>
    <w:link w:val="afe"/>
    <w:uiPriority w:val="99"/>
    <w:locked/>
    <w:rsid w:val="00E33954"/>
    <w:rPr>
      <w:rFonts w:ascii="Times New Roman" w:eastAsia="Times New Roman" w:hAnsi="Times New Roman" w:cs="Times New Roman"/>
      <w:sz w:val="24"/>
      <w:szCs w:val="24"/>
      <w:lang w:val="x-none" w:eastAsia="ru-RU"/>
    </w:rPr>
  </w:style>
  <w:style w:type="character" w:customStyle="1" w:styleId="hgkelc">
    <w:name w:val="hgkelc"/>
    <w:basedOn w:val="a0"/>
    <w:rsid w:val="00B000DF"/>
  </w:style>
  <w:style w:type="character" w:customStyle="1" w:styleId="kx21rb">
    <w:name w:val="kx21rb"/>
    <w:basedOn w:val="a0"/>
    <w:rsid w:val="00B000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5875667">
      <w:bodyDiv w:val="1"/>
      <w:marLeft w:val="0"/>
      <w:marRight w:val="0"/>
      <w:marTop w:val="0"/>
      <w:marBottom w:val="0"/>
      <w:divBdr>
        <w:top w:val="none" w:sz="0" w:space="0" w:color="auto"/>
        <w:left w:val="none" w:sz="0" w:space="0" w:color="auto"/>
        <w:bottom w:val="none" w:sz="0" w:space="0" w:color="auto"/>
        <w:right w:val="none" w:sz="0" w:space="0" w:color="auto"/>
      </w:divBdr>
    </w:div>
    <w:div w:id="1178883329">
      <w:bodyDiv w:val="1"/>
      <w:marLeft w:val="0"/>
      <w:marRight w:val="0"/>
      <w:marTop w:val="0"/>
      <w:marBottom w:val="0"/>
      <w:divBdr>
        <w:top w:val="none" w:sz="0" w:space="0" w:color="auto"/>
        <w:left w:val="none" w:sz="0" w:space="0" w:color="auto"/>
        <w:bottom w:val="none" w:sz="0" w:space="0" w:color="auto"/>
        <w:right w:val="none" w:sz="0" w:space="0" w:color="auto"/>
      </w:divBdr>
    </w:div>
    <w:div w:id="1580557512">
      <w:bodyDiv w:val="1"/>
      <w:marLeft w:val="0"/>
      <w:marRight w:val="0"/>
      <w:marTop w:val="0"/>
      <w:marBottom w:val="0"/>
      <w:divBdr>
        <w:top w:val="none" w:sz="0" w:space="0" w:color="auto"/>
        <w:left w:val="none" w:sz="0" w:space="0" w:color="auto"/>
        <w:bottom w:val="none" w:sz="0" w:space="0" w:color="auto"/>
        <w:right w:val="none" w:sz="0" w:space="0" w:color="auto"/>
      </w:divBdr>
    </w:div>
    <w:div w:id="1635718674">
      <w:bodyDiv w:val="1"/>
      <w:marLeft w:val="0"/>
      <w:marRight w:val="0"/>
      <w:marTop w:val="0"/>
      <w:marBottom w:val="0"/>
      <w:divBdr>
        <w:top w:val="none" w:sz="0" w:space="0" w:color="auto"/>
        <w:left w:val="none" w:sz="0" w:space="0" w:color="auto"/>
        <w:bottom w:val="none" w:sz="0" w:space="0" w:color="auto"/>
        <w:right w:val="none" w:sz="0" w:space="0" w:color="auto"/>
      </w:divBdr>
      <w:divsChild>
        <w:div w:id="1494834550">
          <w:marLeft w:val="0"/>
          <w:marRight w:val="0"/>
          <w:marTop w:val="0"/>
          <w:marBottom w:val="0"/>
          <w:divBdr>
            <w:top w:val="none" w:sz="0" w:space="0" w:color="auto"/>
            <w:left w:val="none" w:sz="0" w:space="0" w:color="auto"/>
            <w:bottom w:val="none" w:sz="0" w:space="0" w:color="auto"/>
            <w:right w:val="none" w:sz="0" w:space="0" w:color="auto"/>
          </w:divBdr>
        </w:div>
      </w:divsChild>
    </w:div>
    <w:div w:id="2048991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Victoria\Dropbox\1%20&#1042;&#1089;&#1077;%20&#1089;&#1090;&#1072;&#1090;&#1100;&#1080;\&#1050;&#1085;&#1080;&#1075;&#1072;1.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Лист3!$F$9</c:f>
              <c:strCache>
                <c:ptCount val="1"/>
                <c:pt idx="0">
                  <c:v>Удельный вес численности иностранных студентов в общей численности студентов, процентов </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Лист3!$G$8:$K$8</c:f>
              <c:strCache>
                <c:ptCount val="5"/>
                <c:pt idx="0">
                  <c:v>2010/2011 </c:v>
                </c:pt>
                <c:pt idx="1">
                  <c:v>2019/2020</c:v>
                </c:pt>
                <c:pt idx="2">
                  <c:v>2020/2021</c:v>
                </c:pt>
                <c:pt idx="3">
                  <c:v>2021/2022</c:v>
                </c:pt>
                <c:pt idx="4">
                  <c:v>2022/2023</c:v>
                </c:pt>
              </c:strCache>
            </c:strRef>
          </c:cat>
          <c:val>
            <c:numRef>
              <c:f>Лист3!$G$9:$K$9</c:f>
              <c:numCache>
                <c:formatCode>General</c:formatCode>
                <c:ptCount val="5"/>
                <c:pt idx="0">
                  <c:v>2.2000000000000002</c:v>
                </c:pt>
                <c:pt idx="1">
                  <c:v>7.3</c:v>
                </c:pt>
                <c:pt idx="2">
                  <c:v>7.7</c:v>
                </c:pt>
                <c:pt idx="3">
                  <c:v>7.9</c:v>
                </c:pt>
                <c:pt idx="4">
                  <c:v>8.4</c:v>
                </c:pt>
              </c:numCache>
            </c:numRef>
          </c:val>
        </c:ser>
        <c:dLbls>
          <c:dLblPos val="outEnd"/>
          <c:showLegendKey val="0"/>
          <c:showVal val="1"/>
          <c:showCatName val="0"/>
          <c:showSerName val="0"/>
          <c:showPercent val="0"/>
          <c:showBubbleSize val="0"/>
        </c:dLbls>
        <c:gapWidth val="444"/>
        <c:overlap val="-90"/>
        <c:axId val="168548088"/>
        <c:axId val="168548872"/>
      </c:barChart>
      <c:catAx>
        <c:axId val="1685480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ru-RU"/>
          </a:p>
        </c:txPr>
        <c:crossAx val="168548872"/>
        <c:crosses val="autoZero"/>
        <c:auto val="1"/>
        <c:lblAlgn val="ctr"/>
        <c:lblOffset val="100"/>
        <c:noMultiLvlLbl val="0"/>
      </c:catAx>
      <c:valAx>
        <c:axId val="168548872"/>
        <c:scaling>
          <c:orientation val="minMax"/>
        </c:scaling>
        <c:delete val="1"/>
        <c:axPos val="l"/>
        <c:numFmt formatCode="General" sourceLinked="1"/>
        <c:majorTickMark val="none"/>
        <c:minorTickMark val="none"/>
        <c:tickLblPos val="nextTo"/>
        <c:crossAx val="168548088"/>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30F460-15F8-439B-A6F4-E98D6CFE98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4</Pages>
  <Words>1638</Words>
  <Characters>9343</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Лейла Натиговна Нацун</dc:creator>
  <cp:keywords/>
  <dc:description/>
  <cp:lastModifiedBy>Victoria</cp:lastModifiedBy>
  <cp:revision>20</cp:revision>
  <dcterms:created xsi:type="dcterms:W3CDTF">2024-02-05T06:51:00Z</dcterms:created>
  <dcterms:modified xsi:type="dcterms:W3CDTF">2024-03-19T11:14:00Z</dcterms:modified>
</cp:coreProperties>
</file>