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9798C9" w14:textId="6C33BA02" w:rsidR="009B19C6" w:rsidRPr="009054F5" w:rsidRDefault="009054F5" w:rsidP="009B19C6">
      <w:pPr>
        <w:pStyle w:val="ac"/>
        <w:spacing w:before="0" w:beforeAutospacing="0" w:after="0" w:afterAutospacing="0"/>
        <w:ind w:firstLine="708"/>
        <w:jc w:val="both"/>
        <w:rPr>
          <w:b/>
          <w:bCs/>
        </w:rPr>
      </w:pPr>
      <w:bookmarkStart w:id="0" w:name="OLE_LINK1"/>
      <w:bookmarkStart w:id="1" w:name="OLE_LINK2"/>
      <w:bookmarkStart w:id="2" w:name="OLE_LINK3"/>
      <w:bookmarkStart w:id="3" w:name="OLE_LINK4"/>
      <w:bookmarkStart w:id="4" w:name="OLE_LINK5"/>
      <w:bookmarkStart w:id="5" w:name="OLE_LINK6"/>
      <w:bookmarkStart w:id="6" w:name="OLE_LINK7"/>
      <w:r w:rsidRPr="009054F5">
        <w:rPr>
          <w:b/>
          <w:bCs/>
        </w:rPr>
        <w:t>УДК 316.4 / ББК 60.5</w:t>
      </w:r>
    </w:p>
    <w:p w14:paraId="4E3CFBAF" w14:textId="06BAE966" w:rsidR="009054F5" w:rsidRDefault="009054F5" w:rsidP="009054F5">
      <w:pPr>
        <w:pStyle w:val="ac"/>
        <w:spacing w:before="0" w:beforeAutospacing="0" w:after="0" w:afterAutospacing="0"/>
        <w:ind w:firstLine="708"/>
        <w:jc w:val="right"/>
        <w:rPr>
          <w:b/>
          <w:bCs/>
        </w:rPr>
      </w:pPr>
      <w:r w:rsidRPr="009054F5">
        <w:rPr>
          <w:b/>
          <w:bCs/>
        </w:rPr>
        <w:t>Агафонова Д. Ю.</w:t>
      </w:r>
    </w:p>
    <w:p w14:paraId="287B6E7E" w14:textId="1EB120A3" w:rsidR="009054F5" w:rsidRDefault="009054F5" w:rsidP="009054F5">
      <w:pPr>
        <w:pStyle w:val="ac"/>
        <w:spacing w:before="0" w:beforeAutospacing="0" w:after="0" w:afterAutospacing="0"/>
        <w:ind w:firstLine="708"/>
        <w:jc w:val="center"/>
        <w:rPr>
          <w:b/>
          <w:bCs/>
        </w:rPr>
      </w:pPr>
      <w:r>
        <w:rPr>
          <w:b/>
          <w:bCs/>
        </w:rPr>
        <w:t>СОЦИАЛЬНЫЙ КАПИТАЛ ЗДОРОВЬЯ</w:t>
      </w:r>
    </w:p>
    <w:p w14:paraId="3A3B1F46" w14:textId="77777777" w:rsidR="009054F5" w:rsidRPr="009054F5" w:rsidRDefault="009054F5" w:rsidP="009054F5">
      <w:pPr>
        <w:pStyle w:val="ac"/>
        <w:spacing w:before="0" w:beforeAutospacing="0" w:after="0" w:afterAutospacing="0"/>
        <w:ind w:firstLine="708"/>
        <w:jc w:val="center"/>
        <w:rPr>
          <w:b/>
          <w:bCs/>
        </w:rPr>
      </w:pPr>
    </w:p>
    <w:p w14:paraId="0F306DE8" w14:textId="4CCB072C" w:rsidR="009054F5" w:rsidRPr="0068464D" w:rsidRDefault="009054F5" w:rsidP="0068464D">
      <w:pPr>
        <w:pStyle w:val="ac"/>
        <w:spacing w:before="0" w:beforeAutospacing="0" w:after="0" w:afterAutospacing="0"/>
        <w:ind w:firstLine="708"/>
        <w:jc w:val="both"/>
      </w:pPr>
      <w:r w:rsidRPr="009054F5">
        <w:rPr>
          <w:b/>
          <w:bCs/>
        </w:rPr>
        <w:t>Аннотация:</w:t>
      </w:r>
      <w:r w:rsidR="00B90EA5">
        <w:rPr>
          <w:b/>
          <w:bCs/>
        </w:rPr>
        <w:t xml:space="preserve"> </w:t>
      </w:r>
      <w:r w:rsidR="0068464D" w:rsidRPr="0068464D">
        <w:t>Термин "социальный капитал" активно исследуется в социальных науках. Концепция социального капитала применяется в качестве основы для теоретического анализа и понимания взаимосвязи между социальными связями и здоровьем. Данная статья представляет данные и анализ результатов Российского мониторинга экономического положения и здоровья населения Высшей школы экономики за период с 2006 по 2021 годы, которые подтверждают влияние социального капитала на здоровье и общественное благополучие.</w:t>
      </w:r>
    </w:p>
    <w:p w14:paraId="3CE08AEF" w14:textId="65758D37" w:rsidR="0068464D" w:rsidRDefault="009054F5" w:rsidP="0068464D">
      <w:pPr>
        <w:pStyle w:val="ac"/>
        <w:spacing w:before="0" w:beforeAutospacing="0" w:after="0" w:afterAutospacing="0"/>
        <w:ind w:firstLine="708"/>
        <w:jc w:val="both"/>
      </w:pPr>
      <w:r w:rsidRPr="009054F5">
        <w:rPr>
          <w:b/>
          <w:bCs/>
        </w:rPr>
        <w:t>Ключевые слова:</w:t>
      </w:r>
      <w:r w:rsidR="0068464D">
        <w:rPr>
          <w:b/>
          <w:bCs/>
        </w:rPr>
        <w:t xml:space="preserve"> </w:t>
      </w:r>
      <w:r w:rsidR="0068464D" w:rsidRPr="0068464D">
        <w:t>социальный капитал, здоровье,</w:t>
      </w:r>
      <w:r w:rsidR="0068464D">
        <w:t xml:space="preserve"> обобщенное доверие</w:t>
      </w:r>
      <w:r w:rsidR="0068464D" w:rsidRPr="0068464D">
        <w:t>, благополучие</w:t>
      </w:r>
      <w:r w:rsidR="0068464D">
        <w:t>.</w:t>
      </w:r>
    </w:p>
    <w:p w14:paraId="3953B213" w14:textId="77777777" w:rsidR="0068464D" w:rsidRPr="0068464D" w:rsidRDefault="0068464D" w:rsidP="0068464D">
      <w:pPr>
        <w:pStyle w:val="ac"/>
        <w:spacing w:before="0" w:beforeAutospacing="0" w:after="0" w:afterAutospacing="0"/>
        <w:ind w:firstLine="708"/>
        <w:jc w:val="both"/>
      </w:pPr>
    </w:p>
    <w:p w14:paraId="1DB9CC26" w14:textId="77777777" w:rsidR="00B90EA5" w:rsidRDefault="009B19C6" w:rsidP="00B90EA5">
      <w:pPr>
        <w:pStyle w:val="ac"/>
        <w:spacing w:before="0" w:beforeAutospacing="0" w:after="0" w:afterAutospacing="0"/>
        <w:ind w:firstLine="708"/>
        <w:jc w:val="both"/>
      </w:pPr>
      <w:r w:rsidRPr="009B19C6">
        <w:t>Термин «социальный капитал» стал широко исследуемой концепцией в социальных науках. Концепция социального капитала активно применяется как инструментальная основа и подход для теоретического анализа. Под термином капитал подразумевается совокупность ресурсов, которые находятся под эффективным контролем конкретного индивида или организации [</w:t>
      </w:r>
      <w:r w:rsidR="009054F5">
        <w:t>1,</w:t>
      </w:r>
      <w:r w:rsidRPr="009B19C6">
        <w:t xml:space="preserve"> </w:t>
      </w:r>
      <w:r w:rsidR="009054F5">
        <w:t>С</w:t>
      </w:r>
      <w:r w:rsidRPr="009B19C6">
        <w:t>. 34–35].</w:t>
      </w:r>
      <w:r>
        <w:t xml:space="preserve"> </w:t>
      </w:r>
      <w:r w:rsidRPr="009B19C6">
        <w:t>Концепция социального капитала относится к процессу создания дополнительной ценности посредством инвестиций в социальные связи.</w:t>
      </w:r>
      <w:r>
        <w:tab/>
      </w:r>
      <w:r w:rsidR="00B90EA5">
        <w:tab/>
        <w:t>Социальный капитал — это концепция, которая подразумевает, что социальные отношения, сети и доверие между людьми имеют ценность и могут быть использованы для достижения различных целей. Теория социального капитала предполагает, что уровень доверия, взаимопомощи и связей в обществе способствует эффективности действий групп и индивидов, а также благополучию общества в целом. Социальный капитал может быть разделен на три основных составляющих: общественные ресурсы (как доступ к информации и ресурсам), нормы и ценности взаимопомощи и доверия, и социальные связи и сети. Взаимодействие между этими элементами способствует созданию ресурсов, которые могут быть использованы для поддержки индивидов и социальных групп. Теория социального капитала также отмечает важность различных уровней (индивидуальный, групповой, общественный) и типов (сетевой, нормативный, ресурсный) социального капитала для формирования устойчивых и процветающих обществ. Важным аспектом является умение управлять и укреплять социальный капитал, чтобы обеспечить лучшее благополучие и развитие как индивидов, так и общества в целом.</w:t>
      </w:r>
      <w:r w:rsidR="00B90EA5">
        <w:tab/>
      </w:r>
    </w:p>
    <w:p w14:paraId="557EC748" w14:textId="77777777" w:rsidR="00B90EA5" w:rsidRDefault="00B90EA5" w:rsidP="00B90EA5">
      <w:pPr>
        <w:pStyle w:val="ac"/>
        <w:spacing w:before="0" w:beforeAutospacing="0" w:after="0" w:afterAutospacing="0"/>
        <w:ind w:firstLine="708"/>
        <w:jc w:val="both"/>
      </w:pPr>
      <w:r>
        <w:t>Теория социального капитала здоровья предполагает, что существует взаимосвязь между социальными связями, взаимодействиями и поддержкой людей, и их физическим и психическим здоровьем. Социальный капитал здоровья включает в себя ресурсы, которые люди могут получить из своих социальных связей, такие как информация, эмоциональная поддержка, доступ к услугам здравоохранения. Такие ресурсы могут способствовать повышению уровня здоровья и благополучия.</w:t>
      </w:r>
    </w:p>
    <w:p w14:paraId="4E5DB74F" w14:textId="5B9A9CD0" w:rsidR="00B90EA5" w:rsidRDefault="00B90EA5" w:rsidP="00B90EA5">
      <w:pPr>
        <w:pStyle w:val="ac"/>
        <w:spacing w:before="0" w:beforeAutospacing="0" w:after="0" w:afterAutospacing="0"/>
        <w:ind w:firstLine="708"/>
        <w:jc w:val="both"/>
      </w:pPr>
      <w:r>
        <w:t>Согласно теории социального капитала здоровья, уровень доверия, взаимодействия и поддержки в обществе может оказывать влияние на физическое и психическое здоровье людей. Например, сильные социальные связи и поддержка могут снизить уровень стресса, улучшить самочувствие и способствовать более здоровому образу жизни. В то время как отсутствие социальной поддержки и изоляция могут быть факторами риска для развития различных заболеваний и психологических проблем.</w:t>
      </w:r>
    </w:p>
    <w:p w14:paraId="6B4494E1" w14:textId="7C4E405D" w:rsidR="00B90EA5" w:rsidRDefault="00B90EA5" w:rsidP="00B90EA5">
      <w:pPr>
        <w:pStyle w:val="ac"/>
        <w:spacing w:before="0" w:beforeAutospacing="0" w:after="0" w:afterAutospacing="0"/>
        <w:ind w:firstLine="708"/>
        <w:jc w:val="both"/>
      </w:pPr>
      <w:r>
        <w:t>Таким образом, теория социального капитала здоровья подчеркивает важность укрепления социальных связей, взаимодействий и сетей поддержки для улучшения общего состояния здоровья и благополучия людей.</w:t>
      </w:r>
    </w:p>
    <w:p w14:paraId="2EA3D489" w14:textId="0BECDD1D" w:rsidR="007D4A2C" w:rsidRPr="00323581" w:rsidRDefault="007D4A2C" w:rsidP="009B19C6">
      <w:pPr>
        <w:pStyle w:val="ac"/>
        <w:spacing w:before="0" w:beforeAutospacing="0" w:after="0" w:afterAutospacing="0"/>
        <w:ind w:firstLine="708"/>
        <w:jc w:val="both"/>
      </w:pPr>
      <w:r w:rsidRPr="00323581">
        <w:t xml:space="preserve">Используются данные </w:t>
      </w:r>
      <w:proofErr w:type="spellStart"/>
      <w:r w:rsidRPr="00323581">
        <w:t>Российского</w:t>
      </w:r>
      <w:proofErr w:type="spellEnd"/>
      <w:r w:rsidRPr="00323581">
        <w:t xml:space="preserve"> мониторинга экономического положения и здоровья населения </w:t>
      </w:r>
      <w:proofErr w:type="spellStart"/>
      <w:r w:rsidRPr="00323581">
        <w:t>Высшеи</w:t>
      </w:r>
      <w:proofErr w:type="spellEnd"/>
      <w:r w:rsidRPr="00323581">
        <w:t xml:space="preserve">̆ школы экономики за период с 2006 по 2021 годы. Мы рассматриваем взвешенные индивидуальные данные для респондентов в возрасте 18 лет и старше. </w:t>
      </w:r>
    </w:p>
    <w:p w14:paraId="62982CC5" w14:textId="0B54A200" w:rsidR="007D4A2C" w:rsidRDefault="007D4A2C" w:rsidP="00323581">
      <w:pPr>
        <w:pStyle w:val="ac"/>
        <w:spacing w:before="0" w:beforeAutospacing="0" w:after="0" w:afterAutospacing="0"/>
        <w:jc w:val="both"/>
      </w:pPr>
      <w:r w:rsidRPr="00323581">
        <w:rPr>
          <w:noProof/>
        </w:rPr>
        <w:lastRenderedPageBreak/>
        <w:drawing>
          <wp:inline distT="0" distB="0" distL="0" distR="0" wp14:anchorId="48D79AAA" wp14:editId="73500F41">
            <wp:extent cx="5632450" cy="3266711"/>
            <wp:effectExtent l="0" t="0" r="6350" b="10160"/>
            <wp:docPr id="1787190813" name="Диаграмма 1">
              <a:extLst xmlns:a="http://schemas.openxmlformats.org/drawingml/2006/main">
                <a:ext uri="{FF2B5EF4-FFF2-40B4-BE49-F238E27FC236}">
                  <a16:creationId xmlns:a16="http://schemas.microsoft.com/office/drawing/2014/main" id="{8DD90095-6224-0281-8900-9D0B376661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083CBD35" w14:textId="77777777" w:rsidR="00323581" w:rsidRPr="00323581" w:rsidRDefault="00323581" w:rsidP="00323581">
      <w:pPr>
        <w:pStyle w:val="ac"/>
        <w:spacing w:before="0" w:beforeAutospacing="0" w:after="0" w:afterAutospacing="0"/>
        <w:jc w:val="center"/>
      </w:pPr>
      <w:r w:rsidRPr="00323581">
        <w:t>Рис. 1. Динамика составляющих индекса социального благополучия, 2006–2021 гг.</w:t>
      </w:r>
    </w:p>
    <w:p w14:paraId="072DEF29" w14:textId="77777777" w:rsidR="00323581" w:rsidRPr="00323581" w:rsidRDefault="00323581" w:rsidP="00323581">
      <w:pPr>
        <w:pStyle w:val="ac"/>
        <w:spacing w:before="0" w:beforeAutospacing="0" w:after="0" w:afterAutospacing="0"/>
        <w:jc w:val="both"/>
      </w:pPr>
    </w:p>
    <w:p w14:paraId="407362FA" w14:textId="1363C082" w:rsidR="00DE4531" w:rsidRPr="00323581" w:rsidRDefault="00D876CC" w:rsidP="0068464D">
      <w:pPr>
        <w:ind w:firstLine="708"/>
        <w:jc w:val="both"/>
        <w:rPr>
          <w:rFonts w:ascii="Times New Roman" w:hAnsi="Times New Roman" w:cs="Times New Roman"/>
          <w:color w:val="000000"/>
          <w:kern w:val="0"/>
        </w:rPr>
      </w:pPr>
      <w:r w:rsidRPr="00323581">
        <w:rPr>
          <w:rFonts w:ascii="Times New Roman" w:hAnsi="Times New Roman" w:cs="Times New Roman"/>
          <w:color w:val="000000"/>
          <w:kern w:val="0"/>
        </w:rPr>
        <w:t>Проведен анализ характеристик социального благополучия россиян за период с 2006 по 2021 годы. Один из основных показателей социального благополучия - удовлетворенность жизнью в целом. Данный показатель в России значительно увеличился: доля лиц, которые ответили, что они полностью или скорее удовлетворены своей жизнью, увеличилась с 38% в 2006 году до 52% в 2021 году. Соответственно, индекс удовлетворенности жизнью в 2021 году (</w:t>
      </w:r>
      <w:proofErr w:type="spellStart"/>
      <w:r w:rsidRPr="00323581">
        <w:rPr>
          <w:rFonts w:ascii="Times New Roman" w:hAnsi="Times New Roman" w:cs="Times New Roman"/>
          <w:color w:val="000000"/>
          <w:kern w:val="0"/>
        </w:rPr>
        <w:t>Иуж</w:t>
      </w:r>
      <w:proofErr w:type="spellEnd"/>
      <w:r w:rsidRPr="00323581">
        <w:rPr>
          <w:rFonts w:ascii="Times New Roman" w:hAnsi="Times New Roman" w:cs="Times New Roman"/>
          <w:color w:val="000000"/>
          <w:kern w:val="0"/>
        </w:rPr>
        <w:t>) составил 0,58 (см. Рис.1). В общем, за период исследования наблюдалось общее снижение процента респондентов, которые не удовлетворены ходом своей жизни, на 16,6 процентных пункта.</w:t>
      </w:r>
    </w:p>
    <w:p w14:paraId="04152634" w14:textId="529C05AB" w:rsidR="00D876CC" w:rsidRPr="00323581" w:rsidRDefault="00D876CC" w:rsidP="0068464D">
      <w:pPr>
        <w:ind w:firstLine="708"/>
        <w:jc w:val="both"/>
        <w:rPr>
          <w:rFonts w:ascii="Times New Roman" w:hAnsi="Times New Roman" w:cs="Times New Roman"/>
          <w:color w:val="000000"/>
          <w:kern w:val="0"/>
        </w:rPr>
      </w:pPr>
      <w:r w:rsidRPr="00323581">
        <w:rPr>
          <w:rFonts w:ascii="Times New Roman" w:hAnsi="Times New Roman" w:cs="Times New Roman"/>
          <w:color w:val="000000"/>
          <w:kern w:val="0"/>
        </w:rPr>
        <w:t xml:space="preserve">В 2021 году наблюдается сохранение материальной неудовлетворенности как основной проблемы среди россиян, поскольку уровень субъективной оценки их материального благосостояния остается низким. В то же время, в России отмечается увеличение данного показателя: доля лиц, удовлетворенных </w:t>
      </w:r>
      <w:r w:rsidR="0068464D" w:rsidRPr="00323581">
        <w:rPr>
          <w:rFonts w:ascii="Times New Roman" w:hAnsi="Times New Roman" w:cs="Times New Roman"/>
          <w:color w:val="000000"/>
          <w:kern w:val="0"/>
        </w:rPr>
        <w:t>своим материальным положением,</w:t>
      </w:r>
      <w:r w:rsidRPr="00323581">
        <w:rPr>
          <w:rFonts w:ascii="Times New Roman" w:hAnsi="Times New Roman" w:cs="Times New Roman"/>
          <w:color w:val="000000"/>
          <w:kern w:val="0"/>
        </w:rPr>
        <w:t xml:space="preserve"> выросла с 18,8% в 2006 году до 21,9% в 2021 году, и индекс удовлетворенности своим материальным положением (</w:t>
      </w:r>
      <w:proofErr w:type="spellStart"/>
      <w:r w:rsidRPr="00323581">
        <w:rPr>
          <w:rFonts w:ascii="Times New Roman" w:hAnsi="Times New Roman" w:cs="Times New Roman"/>
          <w:color w:val="000000"/>
          <w:kern w:val="0"/>
        </w:rPr>
        <w:t>Иумп</w:t>
      </w:r>
      <w:proofErr w:type="spellEnd"/>
      <w:r w:rsidRPr="00323581">
        <w:rPr>
          <w:rFonts w:ascii="Times New Roman" w:hAnsi="Times New Roman" w:cs="Times New Roman"/>
          <w:color w:val="000000"/>
          <w:kern w:val="0"/>
        </w:rPr>
        <w:t>) составил 0,36.</w:t>
      </w:r>
      <w:r w:rsidR="0068464D">
        <w:rPr>
          <w:rFonts w:ascii="Times New Roman" w:hAnsi="Times New Roman" w:cs="Times New Roman"/>
          <w:color w:val="000000"/>
          <w:kern w:val="0"/>
        </w:rPr>
        <w:t xml:space="preserve"> </w:t>
      </w:r>
      <w:r w:rsidRPr="00323581">
        <w:rPr>
          <w:rFonts w:ascii="Times New Roman" w:hAnsi="Times New Roman" w:cs="Times New Roman"/>
          <w:color w:val="000000"/>
          <w:kern w:val="0"/>
        </w:rPr>
        <w:t xml:space="preserve">Анализ мониторинга показывает отчетливый негативный тренд в изменении финансового положения семей. Индекс </w:t>
      </w:r>
      <w:r w:rsidR="00B90EA5">
        <w:rPr>
          <w:rFonts w:ascii="Times New Roman" w:hAnsi="Times New Roman" w:cs="Times New Roman"/>
          <w:color w:val="000000"/>
          <w:kern w:val="0"/>
        </w:rPr>
        <w:t>материального благополучия</w:t>
      </w:r>
      <w:r w:rsidRPr="00323581">
        <w:rPr>
          <w:rFonts w:ascii="Times New Roman" w:hAnsi="Times New Roman" w:cs="Times New Roman"/>
          <w:color w:val="000000"/>
          <w:kern w:val="0"/>
        </w:rPr>
        <w:t xml:space="preserve"> сократился с 0,52 в 2006 году до 0,46 в 2021 году.</w:t>
      </w:r>
    </w:p>
    <w:p w14:paraId="66929064" w14:textId="4861B73A" w:rsidR="00D876CC" w:rsidRPr="00323581" w:rsidRDefault="00D876CC" w:rsidP="00323581">
      <w:pPr>
        <w:ind w:firstLine="708"/>
        <w:jc w:val="both"/>
        <w:rPr>
          <w:rFonts w:ascii="Times New Roman" w:hAnsi="Times New Roman" w:cs="Times New Roman"/>
          <w:color w:val="000000"/>
          <w:kern w:val="0"/>
        </w:rPr>
      </w:pPr>
      <w:r w:rsidRPr="00323581">
        <w:rPr>
          <w:rFonts w:ascii="Times New Roman" w:hAnsi="Times New Roman" w:cs="Times New Roman"/>
          <w:color w:val="000000"/>
          <w:kern w:val="0"/>
        </w:rPr>
        <w:t>Исследование данных также выявило увеличение тревоги населения относительно будущего, отраженное в пессимистической оценке респондентами своих личных и семейных перспектив. Индекс защищенности в 2021 году составил 0,34. Индекс социального оптимизма (</w:t>
      </w:r>
      <w:proofErr w:type="spellStart"/>
      <w:r w:rsidRPr="00323581">
        <w:rPr>
          <w:rFonts w:ascii="Times New Roman" w:hAnsi="Times New Roman" w:cs="Times New Roman"/>
          <w:color w:val="000000"/>
          <w:kern w:val="0"/>
        </w:rPr>
        <w:t>Исо</w:t>
      </w:r>
      <w:proofErr w:type="spellEnd"/>
      <w:r w:rsidRPr="00323581">
        <w:rPr>
          <w:rFonts w:ascii="Times New Roman" w:hAnsi="Times New Roman" w:cs="Times New Roman"/>
          <w:color w:val="000000"/>
          <w:kern w:val="0"/>
        </w:rPr>
        <w:t>) в том же году равнялся 0,40.</w:t>
      </w:r>
    </w:p>
    <w:p w14:paraId="1990E50D" w14:textId="0672DFA2" w:rsidR="00323581" w:rsidRPr="00323581" w:rsidRDefault="00323581" w:rsidP="00323581">
      <w:pPr>
        <w:ind w:firstLine="708"/>
        <w:jc w:val="both"/>
        <w:rPr>
          <w:rFonts w:ascii="Times New Roman" w:hAnsi="Times New Roman" w:cs="Times New Roman"/>
          <w:color w:val="000000"/>
          <w:kern w:val="0"/>
        </w:rPr>
      </w:pPr>
      <w:r w:rsidRPr="00323581">
        <w:rPr>
          <w:rFonts w:ascii="Times New Roman" w:hAnsi="Times New Roman" w:cs="Times New Roman"/>
          <w:color w:val="000000"/>
          <w:kern w:val="0"/>
        </w:rPr>
        <w:t>Отметим стойкое уменьшение всех аспектов социального благополучия с возрастом, в особенности, удовлетворенность жизнью, защищенность и здоровье.</w:t>
      </w:r>
    </w:p>
    <w:p w14:paraId="5B005F67" w14:textId="5D9909BB" w:rsidR="00D876CC" w:rsidRPr="00323581" w:rsidRDefault="0068464D" w:rsidP="00B90EA5">
      <w:pPr>
        <w:ind w:firstLine="708"/>
        <w:jc w:val="both"/>
        <w:rPr>
          <w:rFonts w:ascii="Times New Roman" w:hAnsi="Times New Roman" w:cs="Times New Roman"/>
          <w:color w:val="000000"/>
          <w:kern w:val="0"/>
        </w:rPr>
      </w:pPr>
      <w:r w:rsidRPr="0068464D">
        <w:rPr>
          <w:rFonts w:ascii="Times New Roman" w:hAnsi="Times New Roman" w:cs="Times New Roman"/>
          <w:color w:val="000000"/>
          <w:kern w:val="0"/>
        </w:rPr>
        <w:t>Современное общество характеризуется быстрыми изменениями в профессиональной и личной сферах деятельности, вызванными передовой реальностью. Этот процесс сопровождается урбанизацией и цифровой трансформацией. Поддержание и сохранение здоровья становятся важным и неотъемлемым аспектом повседневной жизни каждого индивида, что требует серьезных усилий. Самооценка здоровья является одним из ключевых показателей состояния здоровья и определяет общее качество жизни.</w:t>
      </w:r>
      <w:r w:rsidRPr="00323581">
        <w:rPr>
          <w:rFonts w:ascii="Times New Roman" w:hAnsi="Times New Roman" w:cs="Times New Roman"/>
          <w:color w:val="000000"/>
          <w:kern w:val="0"/>
        </w:rPr>
        <w:t xml:space="preserve"> Анализ</w:t>
      </w:r>
      <w:r w:rsidR="00D876CC" w:rsidRPr="00323581">
        <w:rPr>
          <w:rFonts w:ascii="Times New Roman" w:hAnsi="Times New Roman" w:cs="Times New Roman"/>
          <w:color w:val="000000"/>
          <w:kern w:val="0"/>
        </w:rPr>
        <w:t xml:space="preserve"> данных за период с 2006 по 2021 годы показывает значительный рост самооценки здоровья.</w:t>
      </w:r>
    </w:p>
    <w:p w14:paraId="23524055" w14:textId="0220AED0" w:rsidR="00D876CC" w:rsidRDefault="00D876CC" w:rsidP="00323581">
      <w:pPr>
        <w:jc w:val="center"/>
        <w:rPr>
          <w:rFonts w:ascii="Times New Roman" w:hAnsi="Times New Roman" w:cs="Times New Roman"/>
        </w:rPr>
      </w:pPr>
      <w:r w:rsidRPr="00323581">
        <w:rPr>
          <w:rFonts w:ascii="Times New Roman" w:hAnsi="Times New Roman" w:cs="Times New Roman"/>
          <w:noProof/>
        </w:rPr>
        <w:lastRenderedPageBreak/>
        <w:drawing>
          <wp:inline distT="0" distB="0" distL="0" distR="0" wp14:anchorId="3ADF14F7" wp14:editId="244F8302">
            <wp:extent cx="5530162" cy="2087065"/>
            <wp:effectExtent l="0" t="0" r="7620" b="8890"/>
            <wp:docPr id="7" name="Диаграмма 25">
              <a:extLst xmlns:a="http://schemas.openxmlformats.org/drawingml/2006/main">
                <a:ext uri="{FF2B5EF4-FFF2-40B4-BE49-F238E27FC236}">
                  <a16:creationId xmlns:a16="http://schemas.microsoft.com/office/drawing/2014/main" id="{0B111D7F-1CD7-7BE1-2C8C-B556E3FDC1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0974CD0D" w14:textId="77777777" w:rsidR="00323581" w:rsidRPr="00323581" w:rsidRDefault="00323581" w:rsidP="00323581">
      <w:pPr>
        <w:jc w:val="center"/>
        <w:rPr>
          <w:rFonts w:ascii="Times New Roman" w:hAnsi="Times New Roman" w:cs="Times New Roman"/>
          <w:color w:val="000000"/>
          <w:kern w:val="0"/>
        </w:rPr>
      </w:pPr>
      <w:r w:rsidRPr="00323581">
        <w:rPr>
          <w:rFonts w:ascii="Times New Roman" w:hAnsi="Times New Roman" w:cs="Times New Roman"/>
          <w:color w:val="000000"/>
          <w:kern w:val="0"/>
        </w:rPr>
        <w:t>Рис. 2. Распределение ответов на вопрос «Как Вы оцениваете состояние своего здоровья?», 2006–2021 гг., % от числа опрошенных</w:t>
      </w:r>
    </w:p>
    <w:p w14:paraId="08323701" w14:textId="77777777" w:rsidR="00323581" w:rsidRPr="00323581" w:rsidRDefault="00323581" w:rsidP="00323581">
      <w:pPr>
        <w:jc w:val="center"/>
        <w:rPr>
          <w:rFonts w:ascii="Times New Roman" w:hAnsi="Times New Roman" w:cs="Times New Roman"/>
        </w:rPr>
      </w:pPr>
    </w:p>
    <w:p w14:paraId="577F33ED" w14:textId="384B2955" w:rsidR="00764478" w:rsidRDefault="00764478" w:rsidP="00323581">
      <w:pPr>
        <w:ind w:firstLine="708"/>
        <w:jc w:val="both"/>
        <w:rPr>
          <w:rFonts w:ascii="Times New Roman" w:hAnsi="Times New Roman" w:cs="Times New Roman"/>
        </w:rPr>
      </w:pPr>
      <w:r w:rsidRPr="00764478">
        <w:rPr>
          <w:rFonts w:ascii="Times New Roman" w:hAnsi="Times New Roman" w:cs="Times New Roman"/>
        </w:rPr>
        <w:t>На протяжении исследуемого периода отмечается снижение доли респондентов, оценивающих свое здоровье как "совсем плохое" и "плохое" - с 1,6% до 0,8% и с 10,7% до 8,2% соответственно. Снижение доли неопределенности в оценке здоровья и позитивная динамика в оценке уровня здоровья указывают на улучшение состояния здоровья среди респондентов. Эти изменения могут свидетельствовать о положительной динамике в самочувствии и повышенной готовности респондентов выражать четкие оценки своего здоровья.</w:t>
      </w:r>
    </w:p>
    <w:p w14:paraId="6A04B793" w14:textId="77777777" w:rsidR="00323581" w:rsidRPr="00323581" w:rsidRDefault="00323581" w:rsidP="00323581">
      <w:pPr>
        <w:jc w:val="both"/>
        <w:rPr>
          <w:rFonts w:ascii="Times New Roman" w:hAnsi="Times New Roman" w:cs="Times New Roman"/>
        </w:rPr>
      </w:pPr>
    </w:p>
    <w:p w14:paraId="3D9D4211" w14:textId="5386AF51" w:rsidR="00323581" w:rsidRPr="00323581" w:rsidRDefault="00323581" w:rsidP="00323581">
      <w:pPr>
        <w:jc w:val="center"/>
        <w:rPr>
          <w:rFonts w:ascii="Times New Roman" w:hAnsi="Times New Roman" w:cs="Times New Roman"/>
        </w:rPr>
      </w:pPr>
      <w:r w:rsidRPr="00323581">
        <w:rPr>
          <w:rFonts w:ascii="Times New Roman" w:hAnsi="Times New Roman" w:cs="Times New Roman"/>
          <w:noProof/>
        </w:rPr>
        <w:drawing>
          <wp:inline distT="0" distB="0" distL="0" distR="0" wp14:anchorId="71009176" wp14:editId="1961A9DD">
            <wp:extent cx="5605062" cy="4229972"/>
            <wp:effectExtent l="0" t="0" r="8890" b="12065"/>
            <wp:docPr id="1213536010" name="Диаграмма 1">
              <a:extLst xmlns:a="http://schemas.openxmlformats.org/drawingml/2006/main">
                <a:ext uri="{FF2B5EF4-FFF2-40B4-BE49-F238E27FC236}">
                  <a16:creationId xmlns:a16="http://schemas.microsoft.com/office/drawing/2014/main" id="{836257C5-C366-ED8B-4A22-B770A27F2B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78E14B7E" w14:textId="6B5A53F8" w:rsidR="00323581" w:rsidRPr="00323581" w:rsidRDefault="00323581" w:rsidP="00323581">
      <w:pPr>
        <w:ind w:firstLine="709"/>
        <w:jc w:val="center"/>
        <w:rPr>
          <w:rFonts w:ascii="Times New Roman" w:hAnsi="Times New Roman" w:cs="Times New Roman"/>
          <w:color w:val="000000"/>
        </w:rPr>
      </w:pPr>
      <w:r w:rsidRPr="00323581">
        <w:rPr>
          <w:rFonts w:ascii="Times New Roman" w:hAnsi="Times New Roman" w:cs="Times New Roman"/>
          <w:color w:val="000000"/>
        </w:rPr>
        <w:t xml:space="preserve">Рис. </w:t>
      </w:r>
      <w:r>
        <w:rPr>
          <w:rFonts w:ascii="Times New Roman" w:hAnsi="Times New Roman" w:cs="Times New Roman"/>
          <w:color w:val="000000"/>
        </w:rPr>
        <w:t>3</w:t>
      </w:r>
      <w:r w:rsidRPr="00323581">
        <w:rPr>
          <w:rFonts w:ascii="Times New Roman" w:hAnsi="Times New Roman" w:cs="Times New Roman"/>
          <w:color w:val="000000"/>
        </w:rPr>
        <w:t>. Динамика составляющих индекса социального благополучия и обобщенного доверия по возрасту для мужчин, 2021 г.</w:t>
      </w:r>
    </w:p>
    <w:p w14:paraId="5E01748E" w14:textId="77777777" w:rsidR="00323581" w:rsidRDefault="00323581" w:rsidP="00323581">
      <w:pPr>
        <w:ind w:firstLine="709"/>
        <w:jc w:val="both"/>
        <w:rPr>
          <w:rFonts w:ascii="Times New Roman" w:hAnsi="Times New Roman" w:cs="Times New Roman"/>
          <w:color w:val="000000"/>
        </w:rPr>
      </w:pPr>
    </w:p>
    <w:p w14:paraId="657B566D" w14:textId="77777777" w:rsidR="00323581" w:rsidRPr="00323581" w:rsidRDefault="00323581" w:rsidP="00323581">
      <w:pPr>
        <w:jc w:val="both"/>
        <w:rPr>
          <w:rFonts w:ascii="Times New Roman" w:hAnsi="Times New Roman" w:cs="Times New Roman"/>
        </w:rPr>
      </w:pPr>
    </w:p>
    <w:p w14:paraId="4211DBE6" w14:textId="422DE39E" w:rsidR="00323581" w:rsidRDefault="00323581" w:rsidP="00323581">
      <w:pPr>
        <w:jc w:val="both"/>
        <w:rPr>
          <w:rFonts w:ascii="Times New Roman" w:hAnsi="Times New Roman" w:cs="Times New Roman"/>
        </w:rPr>
      </w:pPr>
      <w:r w:rsidRPr="00323581">
        <w:rPr>
          <w:rFonts w:ascii="Times New Roman" w:hAnsi="Times New Roman" w:cs="Times New Roman"/>
          <w:noProof/>
        </w:rPr>
        <w:lastRenderedPageBreak/>
        <w:drawing>
          <wp:inline distT="0" distB="0" distL="0" distR="0" wp14:anchorId="7581EECD" wp14:editId="6E092F28">
            <wp:extent cx="5974744" cy="2791460"/>
            <wp:effectExtent l="0" t="0" r="6985" b="15240"/>
            <wp:docPr id="2015167975" name="Диаграмма 1">
              <a:extLst xmlns:a="http://schemas.openxmlformats.org/drawingml/2006/main">
                <a:ext uri="{FF2B5EF4-FFF2-40B4-BE49-F238E27FC236}">
                  <a16:creationId xmlns:a16="http://schemas.microsoft.com/office/drawing/2014/main" id="{AB3EDDDB-7FE6-819D-463C-D943181AE8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109C907" w14:textId="2643D804" w:rsidR="00323581" w:rsidRPr="00323581" w:rsidRDefault="00323581" w:rsidP="00323581">
      <w:pPr>
        <w:ind w:firstLine="708"/>
        <w:jc w:val="center"/>
        <w:rPr>
          <w:rFonts w:ascii="Times New Roman" w:hAnsi="Times New Roman" w:cs="Times New Roman"/>
        </w:rPr>
      </w:pPr>
      <w:r w:rsidRPr="00323581">
        <w:rPr>
          <w:rFonts w:ascii="Times New Roman" w:hAnsi="Times New Roman" w:cs="Times New Roman"/>
        </w:rPr>
        <w:t xml:space="preserve">Рис. </w:t>
      </w:r>
      <w:r>
        <w:rPr>
          <w:rFonts w:ascii="Times New Roman" w:hAnsi="Times New Roman" w:cs="Times New Roman"/>
        </w:rPr>
        <w:t>3</w:t>
      </w:r>
      <w:r w:rsidRPr="00323581">
        <w:rPr>
          <w:rFonts w:ascii="Times New Roman" w:hAnsi="Times New Roman" w:cs="Times New Roman"/>
        </w:rPr>
        <w:t>. Динамика составляющих индекса социального благополучия и обобщенного доверия по возрасту для женщин, 2021 г.</w:t>
      </w:r>
    </w:p>
    <w:p w14:paraId="5A710BEF" w14:textId="10F58340" w:rsidR="00323581" w:rsidRPr="00323581" w:rsidRDefault="00323581" w:rsidP="00323581">
      <w:pPr>
        <w:ind w:firstLine="708"/>
        <w:jc w:val="both"/>
        <w:rPr>
          <w:rFonts w:ascii="Times New Roman" w:hAnsi="Times New Roman" w:cs="Times New Roman"/>
        </w:rPr>
      </w:pPr>
      <w:r w:rsidRPr="00323581">
        <w:rPr>
          <w:rFonts w:ascii="Times New Roman" w:hAnsi="Times New Roman" w:cs="Times New Roman"/>
          <w:color w:val="000000"/>
          <w:kern w:val="0"/>
        </w:rPr>
        <w:t>Анализ данных подтверждает, что самооценка состояния здоровья населения существенно зависит от возраста, что является ожидаемым результатом. Индекс самооценки здоровья демонстрирует обратную линейную связь: с возрастом у респондента показатели самооценки здоровья снижаются. Отмечается различие в оценке состояния здоровья между мужчинами и женщинами, причем женщины склонны оценивать свое здоровье хуже, чем мужчины. Например, максимальные значения индекса соответствуют возрастным группам до 18 лет и 19–29 лет, после чего они резко снижаются с увеличением возраста респондента, достигая значения 0,46 у мужчин и 0,44 у женщин в пенсионном возрасте.</w:t>
      </w:r>
    </w:p>
    <w:p w14:paraId="0A70642C" w14:textId="308ED84F" w:rsidR="00323581" w:rsidRPr="00323581" w:rsidRDefault="00323581" w:rsidP="00323581">
      <w:pPr>
        <w:ind w:firstLine="708"/>
        <w:jc w:val="both"/>
        <w:rPr>
          <w:rFonts w:ascii="Times New Roman" w:hAnsi="Times New Roman" w:cs="Times New Roman"/>
          <w:color w:val="000000"/>
          <w:kern w:val="0"/>
        </w:rPr>
      </w:pPr>
      <w:r w:rsidRPr="00323581">
        <w:rPr>
          <w:rFonts w:ascii="Times New Roman" w:hAnsi="Times New Roman" w:cs="Times New Roman"/>
          <w:color w:val="000000"/>
          <w:kern w:val="0"/>
        </w:rPr>
        <w:t>Данные о доверии представляют значимость для научного анализа. Изменения в уровне доверия в обществе происходят медленно, и, к сожалению, в нашем социуме наблюдается большее количество людей, которым не доверяют, чем тем, которым доверяют. Возраст и здоровье тесно связаны с уровнем доверия. В 2021 году представители младших возрастных групп (до 18 лет) демонстрируют наивысший уровень доверия (0,42 у мужчин и 0,39 у женщин). Интересная динамика наблюдается в том, что уровень доверия у женщин стабильно снижается со взрослением. У мужчин наивысший пик недоверия приходится на возрастную группу 45–59 лет и значительно вырастает у лиц старше 60 лет.</w:t>
      </w:r>
    </w:p>
    <w:p w14:paraId="624A8602" w14:textId="77777777" w:rsidR="00323581" w:rsidRPr="00323581" w:rsidRDefault="00323581" w:rsidP="00323581">
      <w:pPr>
        <w:jc w:val="both"/>
        <w:rPr>
          <w:rFonts w:ascii="Times New Roman" w:hAnsi="Times New Roman" w:cs="Times New Roman"/>
          <w:color w:val="000000"/>
          <w:kern w:val="0"/>
        </w:rPr>
      </w:pPr>
    </w:p>
    <w:p w14:paraId="3306C61A" w14:textId="3B97A79D" w:rsidR="00323581" w:rsidRDefault="00323581" w:rsidP="00323581">
      <w:pPr>
        <w:ind w:firstLine="709"/>
        <w:jc w:val="both"/>
        <w:rPr>
          <w:rFonts w:ascii="Times New Roman" w:hAnsi="Times New Roman" w:cs="Times New Roman"/>
          <w:color w:val="000000"/>
        </w:rPr>
      </w:pPr>
      <w:r w:rsidRPr="00323581">
        <w:rPr>
          <w:rFonts w:ascii="Times New Roman" w:hAnsi="Times New Roman" w:cs="Times New Roman"/>
          <w:noProof/>
        </w:rPr>
        <w:drawing>
          <wp:inline distT="0" distB="0" distL="0" distR="0" wp14:anchorId="4405F4F2" wp14:editId="665EA77A">
            <wp:extent cx="5736503" cy="2966565"/>
            <wp:effectExtent l="0" t="0" r="17145" b="18415"/>
            <wp:docPr id="12" name="Диаграмма 5">
              <a:extLst xmlns:a="http://schemas.openxmlformats.org/drawingml/2006/main">
                <a:ext uri="{FF2B5EF4-FFF2-40B4-BE49-F238E27FC236}">
                  <a16:creationId xmlns:a16="http://schemas.microsoft.com/office/drawing/2014/main" id="{4239C694-2B96-601C-338E-D6A954EA7E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9169942" w14:textId="5AB4BBCC" w:rsidR="00323581" w:rsidRPr="00323581" w:rsidRDefault="00323581" w:rsidP="00323581">
      <w:pPr>
        <w:ind w:firstLine="709"/>
        <w:jc w:val="both"/>
        <w:rPr>
          <w:rFonts w:ascii="Times New Roman" w:hAnsi="Times New Roman" w:cs="Times New Roman"/>
          <w:color w:val="000000"/>
        </w:rPr>
      </w:pPr>
      <w:r w:rsidRPr="00323581">
        <w:rPr>
          <w:rFonts w:ascii="Times New Roman" w:hAnsi="Times New Roman" w:cs="Times New Roman"/>
          <w:color w:val="000000"/>
        </w:rPr>
        <w:lastRenderedPageBreak/>
        <w:t xml:space="preserve">Рис. </w:t>
      </w:r>
      <w:r>
        <w:rPr>
          <w:rFonts w:ascii="Times New Roman" w:hAnsi="Times New Roman" w:cs="Times New Roman"/>
          <w:color w:val="000000"/>
        </w:rPr>
        <w:t>4</w:t>
      </w:r>
      <w:r w:rsidRPr="00323581">
        <w:rPr>
          <w:rFonts w:ascii="Times New Roman" w:hAnsi="Times New Roman" w:cs="Times New Roman"/>
          <w:color w:val="000000"/>
        </w:rPr>
        <w:t>. Распределение ответов на вопрос «Считаете ли Вы, что большинству людей можно доверять или в отношениях с людьми всегда надо быть осторожным?» по оценке состояния здоровья, 2021 гг., % от числа опрошенных</w:t>
      </w:r>
    </w:p>
    <w:p w14:paraId="0E1B4F0F" w14:textId="29F08AEC" w:rsidR="00323581" w:rsidRDefault="00323581" w:rsidP="00323581">
      <w:pPr>
        <w:ind w:firstLine="708"/>
        <w:jc w:val="both"/>
        <w:rPr>
          <w:rFonts w:ascii="Times New Roman" w:hAnsi="Times New Roman" w:cs="Times New Roman"/>
          <w:color w:val="000000"/>
          <w:kern w:val="0"/>
        </w:rPr>
      </w:pPr>
      <w:r w:rsidRPr="00323581">
        <w:rPr>
          <w:rFonts w:ascii="Times New Roman" w:hAnsi="Times New Roman" w:cs="Times New Roman"/>
          <w:color w:val="000000"/>
          <w:kern w:val="0"/>
        </w:rPr>
        <w:t>Для достижения поставленных гипотез необходимо учитывать важное взаимосвязь между уровнем обобщенного доверия и здоровьем (см. рисунок 2.11). Проведенный анализ указал, что респонденты с высоким уровнем здоровья проявляют большее доверие - 22,9%, в то время как у людей с плохим здоровьем эта цифра составляет 7,7%. С другой стороны, доля недоверия значительно выше среди респондентов с наихудшим здоровьем - 55,4%. Проведенный анализ выявил умеренную положительную связь с высокой статистической значимостью между уровнем доверия и состоянием здоровья (r= 0,244 при р ≤ 0,01).</w:t>
      </w:r>
      <w:bookmarkEnd w:id="0"/>
      <w:bookmarkEnd w:id="1"/>
    </w:p>
    <w:p w14:paraId="245FD4BF" w14:textId="250079CC" w:rsidR="009054F5" w:rsidRDefault="009054F5" w:rsidP="00323581">
      <w:pPr>
        <w:ind w:firstLine="708"/>
        <w:jc w:val="both"/>
        <w:rPr>
          <w:rFonts w:ascii="Times New Roman" w:hAnsi="Times New Roman" w:cs="Times New Roman"/>
          <w:color w:val="000000"/>
          <w:kern w:val="0"/>
        </w:rPr>
      </w:pPr>
      <w:r>
        <w:rPr>
          <w:rFonts w:ascii="Times New Roman" w:hAnsi="Times New Roman" w:cs="Times New Roman"/>
          <w:color w:val="000000"/>
          <w:kern w:val="0"/>
        </w:rPr>
        <w:t>Таким образом, н</w:t>
      </w:r>
      <w:r w:rsidRPr="009054F5">
        <w:rPr>
          <w:rFonts w:ascii="Times New Roman" w:hAnsi="Times New Roman" w:cs="Times New Roman"/>
          <w:color w:val="000000"/>
          <w:kern w:val="0"/>
        </w:rPr>
        <w:t>а уровне макроанализа было установлено прогрессивное развитие социального благополучия. За исследуемый период (с 2006 по 2021 год) отмечается положительная динамика улучшения социального благополучия россиян, проявляющаяся в повышении уровня удовлетворенности жизнью и оценке здоровья.</w:t>
      </w:r>
      <w:r>
        <w:rPr>
          <w:rFonts w:ascii="Times New Roman" w:hAnsi="Times New Roman" w:cs="Times New Roman"/>
          <w:color w:val="000000"/>
          <w:kern w:val="0"/>
        </w:rPr>
        <w:t xml:space="preserve"> П</w:t>
      </w:r>
      <w:r w:rsidRPr="009054F5">
        <w:rPr>
          <w:rFonts w:ascii="Times New Roman" w:hAnsi="Times New Roman" w:cs="Times New Roman"/>
          <w:color w:val="000000"/>
          <w:kern w:val="0"/>
        </w:rPr>
        <w:t xml:space="preserve">оказатель социального капитала в виде обобщенного доверия слабо, но статистически значимо связан со здоровьем. Полученные данные свидетельствуют о том, что участники исследования с отличным здоровьем проявляют выше уровень доверия. С другой стороны, процент людей, не доверяющих, значительно выше среди тех, кто имеет худшее состояние здоровья. </w:t>
      </w:r>
      <w:bookmarkEnd w:id="2"/>
      <w:bookmarkEnd w:id="3"/>
    </w:p>
    <w:p w14:paraId="63FFEA30" w14:textId="77777777" w:rsidR="00B90EA5" w:rsidRDefault="00B90EA5" w:rsidP="00323581">
      <w:pPr>
        <w:ind w:firstLine="708"/>
        <w:jc w:val="both"/>
        <w:rPr>
          <w:rFonts w:ascii="Times New Roman" w:hAnsi="Times New Roman" w:cs="Times New Roman"/>
          <w:color w:val="000000"/>
          <w:kern w:val="0"/>
        </w:rPr>
      </w:pPr>
    </w:p>
    <w:p w14:paraId="26C4841E" w14:textId="214B0458" w:rsidR="00B90EA5" w:rsidRPr="00A936F0" w:rsidRDefault="00B90EA5" w:rsidP="00B90EA5">
      <w:pPr>
        <w:ind w:firstLine="708"/>
        <w:jc w:val="center"/>
        <w:rPr>
          <w:rFonts w:ascii="Times New Roman" w:hAnsi="Times New Roman" w:cs="Times New Roman"/>
          <w:b/>
          <w:bCs/>
          <w:color w:val="000000"/>
          <w:kern w:val="0"/>
          <w:lang w:val="en-US"/>
        </w:rPr>
      </w:pPr>
      <w:r w:rsidRPr="00B90EA5">
        <w:rPr>
          <w:rFonts w:ascii="Times New Roman" w:hAnsi="Times New Roman" w:cs="Times New Roman"/>
          <w:b/>
          <w:bCs/>
          <w:color w:val="000000"/>
          <w:kern w:val="0"/>
        </w:rPr>
        <w:t>Библиографический</w:t>
      </w:r>
      <w:r w:rsidRPr="00A936F0">
        <w:rPr>
          <w:rFonts w:ascii="Times New Roman" w:hAnsi="Times New Roman" w:cs="Times New Roman"/>
          <w:b/>
          <w:bCs/>
          <w:color w:val="000000"/>
          <w:kern w:val="0"/>
          <w:lang w:val="en-US"/>
        </w:rPr>
        <w:t xml:space="preserve"> </w:t>
      </w:r>
      <w:r w:rsidRPr="00B90EA5">
        <w:rPr>
          <w:rFonts w:ascii="Times New Roman" w:hAnsi="Times New Roman" w:cs="Times New Roman"/>
          <w:b/>
          <w:bCs/>
          <w:color w:val="000000"/>
          <w:kern w:val="0"/>
        </w:rPr>
        <w:t>список</w:t>
      </w:r>
    </w:p>
    <w:p w14:paraId="79E7F274" w14:textId="72867147" w:rsidR="00B90EA5" w:rsidRPr="00A936F0" w:rsidRDefault="00B90EA5" w:rsidP="00B90EA5">
      <w:pPr>
        <w:ind w:firstLine="708"/>
        <w:jc w:val="both"/>
        <w:rPr>
          <w:rFonts w:ascii="Times New Roman" w:hAnsi="Times New Roman" w:cs="Times New Roman"/>
        </w:rPr>
      </w:pPr>
      <w:r w:rsidRPr="00B90EA5">
        <w:rPr>
          <w:rFonts w:ascii="Times New Roman" w:hAnsi="Times New Roman" w:cs="Times New Roman"/>
          <w:lang w:val="en-US"/>
        </w:rPr>
        <w:t>1.</w:t>
      </w:r>
      <w:r w:rsidRPr="00B90EA5">
        <w:rPr>
          <w:rFonts w:ascii="Times New Roman" w:hAnsi="Times New Roman" w:cs="Times New Roman"/>
          <w:lang w:val="en-US"/>
        </w:rPr>
        <w:tab/>
        <w:t>Handbook of Social Capital: The Troika of Sociology, Political Science and Economics / G. T. Svendsen, G. L. H. Svendsen.  Cheltenham</w:t>
      </w:r>
      <w:r w:rsidRPr="00A936F0">
        <w:rPr>
          <w:rFonts w:ascii="Times New Roman" w:hAnsi="Times New Roman" w:cs="Times New Roman"/>
        </w:rPr>
        <w:t xml:space="preserve">: </w:t>
      </w:r>
      <w:r w:rsidRPr="00B90EA5">
        <w:rPr>
          <w:rFonts w:ascii="Times New Roman" w:hAnsi="Times New Roman" w:cs="Times New Roman"/>
          <w:lang w:val="en-US"/>
        </w:rPr>
        <w:t>Edward</w:t>
      </w:r>
      <w:r w:rsidRPr="00A936F0">
        <w:rPr>
          <w:rFonts w:ascii="Times New Roman" w:hAnsi="Times New Roman" w:cs="Times New Roman"/>
        </w:rPr>
        <w:t xml:space="preserve"> </w:t>
      </w:r>
      <w:r w:rsidRPr="00B90EA5">
        <w:rPr>
          <w:rFonts w:ascii="Times New Roman" w:hAnsi="Times New Roman" w:cs="Times New Roman"/>
          <w:lang w:val="en-US"/>
        </w:rPr>
        <w:t>Elgar</w:t>
      </w:r>
      <w:r w:rsidRPr="00A936F0">
        <w:rPr>
          <w:rFonts w:ascii="Times New Roman" w:hAnsi="Times New Roman" w:cs="Times New Roman"/>
        </w:rPr>
        <w:t xml:space="preserve">, 2019. 460 </w:t>
      </w:r>
      <w:r w:rsidRPr="00B90EA5">
        <w:rPr>
          <w:rFonts w:ascii="Times New Roman" w:hAnsi="Times New Roman" w:cs="Times New Roman"/>
          <w:lang w:val="en-US"/>
        </w:rPr>
        <w:t>p</w:t>
      </w:r>
      <w:r w:rsidRPr="00A936F0">
        <w:rPr>
          <w:rFonts w:ascii="Times New Roman" w:hAnsi="Times New Roman" w:cs="Times New Roman"/>
        </w:rPr>
        <w:t>.</w:t>
      </w:r>
      <w:bookmarkEnd w:id="4"/>
      <w:bookmarkEnd w:id="5"/>
      <w:bookmarkEnd w:id="6"/>
    </w:p>
    <w:p w14:paraId="1140DC2E" w14:textId="77777777" w:rsidR="0068464D" w:rsidRPr="00A936F0" w:rsidRDefault="0068464D" w:rsidP="00B90EA5">
      <w:pPr>
        <w:ind w:firstLine="708"/>
        <w:jc w:val="both"/>
        <w:rPr>
          <w:rFonts w:ascii="Times New Roman" w:hAnsi="Times New Roman" w:cs="Times New Roman"/>
        </w:rPr>
      </w:pPr>
    </w:p>
    <w:p w14:paraId="44377B52" w14:textId="6C8E33D9" w:rsidR="0068464D" w:rsidRDefault="0068464D" w:rsidP="0068464D">
      <w:pPr>
        <w:ind w:firstLine="708"/>
        <w:jc w:val="center"/>
        <w:rPr>
          <w:rFonts w:ascii="Times New Roman" w:hAnsi="Times New Roman" w:cs="Times New Roman"/>
          <w:b/>
          <w:bCs/>
        </w:rPr>
      </w:pPr>
      <w:r w:rsidRPr="0068464D">
        <w:rPr>
          <w:rFonts w:ascii="Times New Roman" w:hAnsi="Times New Roman" w:cs="Times New Roman"/>
          <w:b/>
          <w:bCs/>
        </w:rPr>
        <w:t>Информация об автор</w:t>
      </w:r>
      <w:r w:rsidR="00764478">
        <w:rPr>
          <w:rFonts w:ascii="Times New Roman" w:hAnsi="Times New Roman" w:cs="Times New Roman"/>
          <w:b/>
          <w:bCs/>
        </w:rPr>
        <w:t>е</w:t>
      </w:r>
    </w:p>
    <w:p w14:paraId="3B04C06D" w14:textId="111B4CE4" w:rsidR="0068464D" w:rsidRDefault="0068464D" w:rsidP="0068464D">
      <w:pPr>
        <w:ind w:firstLine="708"/>
        <w:jc w:val="both"/>
        <w:rPr>
          <w:rFonts w:ascii="Times New Roman" w:hAnsi="Times New Roman" w:cs="Times New Roman"/>
        </w:rPr>
      </w:pPr>
      <w:r w:rsidRPr="0068464D">
        <w:rPr>
          <w:rFonts w:ascii="Times New Roman" w:hAnsi="Times New Roman" w:cs="Times New Roman"/>
        </w:rPr>
        <w:t xml:space="preserve">Агафонова Дарья Юрьевна (Россия, Тюмень) – </w:t>
      </w:r>
      <w:r>
        <w:rPr>
          <w:rFonts w:ascii="Times New Roman" w:hAnsi="Times New Roman" w:cs="Times New Roman"/>
        </w:rPr>
        <w:t>аспирант, ассистент</w:t>
      </w:r>
      <w:r w:rsidRPr="0068464D">
        <w:rPr>
          <w:rFonts w:ascii="Times New Roman" w:hAnsi="Times New Roman" w:cs="Times New Roman"/>
        </w:rPr>
        <w:t xml:space="preserve">, Тюменский государственный университет (625003, г. Тюмень, ул. Володарского, 6, </w:t>
      </w:r>
      <w:proofErr w:type="spellStart"/>
      <w:r w:rsidRPr="0068464D">
        <w:rPr>
          <w:rFonts w:ascii="Times New Roman" w:hAnsi="Times New Roman" w:cs="Times New Roman"/>
        </w:rPr>
        <w:t>e-mail</w:t>
      </w:r>
      <w:proofErr w:type="spellEnd"/>
      <w:r w:rsidRPr="0068464D">
        <w:rPr>
          <w:rFonts w:ascii="Times New Roman" w:hAnsi="Times New Roman" w:cs="Times New Roman"/>
        </w:rPr>
        <w:t>:</w:t>
      </w:r>
      <w:r>
        <w:rPr>
          <w:rFonts w:ascii="Times New Roman" w:hAnsi="Times New Roman" w:cs="Times New Roman"/>
        </w:rPr>
        <w:t xml:space="preserve"> </w:t>
      </w:r>
      <w:hyperlink r:id="rId10" w:history="1">
        <w:r w:rsidRPr="009B1435">
          <w:rPr>
            <w:rStyle w:val="ad"/>
            <w:rFonts w:ascii="Times New Roman" w:hAnsi="Times New Roman" w:cs="Times New Roman"/>
            <w:lang w:val="en-US"/>
          </w:rPr>
          <w:t>d</w:t>
        </w:r>
        <w:r w:rsidRPr="009B1435">
          <w:rPr>
            <w:rStyle w:val="ad"/>
            <w:rFonts w:ascii="Times New Roman" w:hAnsi="Times New Roman" w:cs="Times New Roman"/>
          </w:rPr>
          <w:t>.</w:t>
        </w:r>
        <w:r w:rsidRPr="009B1435">
          <w:rPr>
            <w:rStyle w:val="ad"/>
            <w:rFonts w:ascii="Times New Roman" w:hAnsi="Times New Roman" w:cs="Times New Roman"/>
            <w:lang w:val="en-US"/>
          </w:rPr>
          <w:t>y</w:t>
        </w:r>
        <w:r w:rsidRPr="009B1435">
          <w:rPr>
            <w:rStyle w:val="ad"/>
            <w:rFonts w:ascii="Times New Roman" w:hAnsi="Times New Roman" w:cs="Times New Roman"/>
          </w:rPr>
          <w:t>.</w:t>
        </w:r>
        <w:r w:rsidRPr="009B1435">
          <w:rPr>
            <w:rStyle w:val="ad"/>
            <w:rFonts w:ascii="Times New Roman" w:hAnsi="Times New Roman" w:cs="Times New Roman"/>
            <w:lang w:val="en-US"/>
          </w:rPr>
          <w:t>agafonova</w:t>
        </w:r>
        <w:r w:rsidRPr="009B1435">
          <w:rPr>
            <w:rStyle w:val="ad"/>
            <w:rFonts w:ascii="Times New Roman" w:hAnsi="Times New Roman" w:cs="Times New Roman"/>
          </w:rPr>
          <w:t>@</w:t>
        </w:r>
        <w:r w:rsidRPr="009B1435">
          <w:rPr>
            <w:rStyle w:val="ad"/>
            <w:rFonts w:ascii="Times New Roman" w:hAnsi="Times New Roman" w:cs="Times New Roman"/>
            <w:lang w:val="en-US"/>
          </w:rPr>
          <w:t>utmn</w:t>
        </w:r>
        <w:r w:rsidRPr="009B1435">
          <w:rPr>
            <w:rStyle w:val="ad"/>
            <w:rFonts w:ascii="Times New Roman" w:hAnsi="Times New Roman" w:cs="Times New Roman"/>
          </w:rPr>
          <w:t>.</w:t>
        </w:r>
        <w:proofErr w:type="spellStart"/>
        <w:r w:rsidRPr="009B1435">
          <w:rPr>
            <w:rStyle w:val="ad"/>
            <w:rFonts w:ascii="Times New Roman" w:hAnsi="Times New Roman" w:cs="Times New Roman"/>
            <w:lang w:val="en-US"/>
          </w:rPr>
          <w:t>ru</w:t>
        </w:r>
        <w:proofErr w:type="spellEnd"/>
      </w:hyperlink>
      <w:r w:rsidRPr="0068464D">
        <w:rPr>
          <w:rFonts w:ascii="Times New Roman" w:hAnsi="Times New Roman" w:cs="Times New Roman"/>
        </w:rPr>
        <w:t>).</w:t>
      </w:r>
    </w:p>
    <w:p w14:paraId="6566FA46" w14:textId="4EE2934C" w:rsidR="0068464D" w:rsidRDefault="0068464D" w:rsidP="0068464D">
      <w:pPr>
        <w:ind w:firstLine="708"/>
        <w:jc w:val="right"/>
        <w:rPr>
          <w:rFonts w:ascii="Times New Roman" w:hAnsi="Times New Roman" w:cs="Times New Roman"/>
          <w:b/>
          <w:bCs/>
        </w:rPr>
      </w:pPr>
      <w:proofErr w:type="spellStart"/>
      <w:r w:rsidRPr="0068464D">
        <w:rPr>
          <w:rFonts w:ascii="Times New Roman" w:hAnsi="Times New Roman" w:cs="Times New Roman"/>
          <w:b/>
          <w:bCs/>
        </w:rPr>
        <w:t>Agafonova</w:t>
      </w:r>
      <w:proofErr w:type="spellEnd"/>
      <w:r w:rsidRPr="0068464D">
        <w:rPr>
          <w:rFonts w:ascii="Times New Roman" w:hAnsi="Times New Roman" w:cs="Times New Roman"/>
          <w:b/>
          <w:bCs/>
        </w:rPr>
        <w:t xml:space="preserve"> </w:t>
      </w:r>
      <w:proofErr w:type="spellStart"/>
      <w:r w:rsidRPr="0068464D">
        <w:rPr>
          <w:rFonts w:ascii="Times New Roman" w:hAnsi="Times New Roman" w:cs="Times New Roman"/>
          <w:b/>
          <w:bCs/>
        </w:rPr>
        <w:t>D.Yu</w:t>
      </w:r>
      <w:proofErr w:type="spellEnd"/>
      <w:r w:rsidRPr="0068464D">
        <w:rPr>
          <w:rFonts w:ascii="Times New Roman" w:hAnsi="Times New Roman" w:cs="Times New Roman"/>
          <w:b/>
          <w:bCs/>
        </w:rPr>
        <w:t>.</w:t>
      </w:r>
    </w:p>
    <w:p w14:paraId="05EF6545" w14:textId="4FDCF5A1" w:rsidR="00764478" w:rsidRPr="00A936F0" w:rsidRDefault="00764478" w:rsidP="00764478">
      <w:pPr>
        <w:ind w:firstLine="708"/>
        <w:jc w:val="center"/>
        <w:rPr>
          <w:rFonts w:ascii="Times New Roman" w:hAnsi="Times New Roman" w:cs="Times New Roman"/>
          <w:b/>
          <w:bCs/>
          <w:lang w:val="en-US"/>
        </w:rPr>
      </w:pPr>
      <w:r w:rsidRPr="00764478">
        <w:rPr>
          <w:rFonts w:ascii="Times New Roman" w:hAnsi="Times New Roman" w:cs="Times New Roman"/>
          <w:b/>
          <w:bCs/>
        </w:rPr>
        <w:t>SOCIAL CAPITAL OF HEALTH</w:t>
      </w:r>
    </w:p>
    <w:p w14:paraId="1A791E3D" w14:textId="77777777" w:rsidR="0068464D" w:rsidRPr="00A936F0" w:rsidRDefault="0068464D" w:rsidP="0068464D">
      <w:pPr>
        <w:ind w:firstLine="708"/>
        <w:jc w:val="right"/>
        <w:rPr>
          <w:rFonts w:ascii="Times New Roman" w:hAnsi="Times New Roman" w:cs="Times New Roman"/>
          <w:b/>
          <w:bCs/>
          <w:lang w:val="en-US"/>
        </w:rPr>
      </w:pPr>
    </w:p>
    <w:p w14:paraId="0EA1E280" w14:textId="375206C7" w:rsidR="0068464D" w:rsidRPr="0068464D" w:rsidRDefault="0068464D" w:rsidP="0068464D">
      <w:pPr>
        <w:ind w:firstLine="708"/>
        <w:jc w:val="both"/>
        <w:rPr>
          <w:rFonts w:ascii="Times New Roman" w:hAnsi="Times New Roman" w:cs="Times New Roman"/>
          <w:lang w:val="en-US"/>
        </w:rPr>
      </w:pPr>
      <w:r w:rsidRPr="0068464D">
        <w:rPr>
          <w:rFonts w:ascii="Times New Roman" w:hAnsi="Times New Roman" w:cs="Times New Roman"/>
          <w:b/>
          <w:bCs/>
          <w:lang w:val="en-US"/>
        </w:rPr>
        <w:t>Abstract:</w:t>
      </w:r>
      <w:r w:rsidRPr="0068464D">
        <w:rPr>
          <w:rFonts w:ascii="Times New Roman" w:hAnsi="Times New Roman" w:cs="Times New Roman"/>
          <w:lang w:val="en-US"/>
        </w:rPr>
        <w:t xml:space="preserve"> The term "social capital" is actively researched in social sciences. The concept of social capital is applied as a foundation for theoretical analysis and understanding the relationship between social connections and health. This article presents data and analysis of the results from the Russia Longitudinal Monitoring Survey (RLMS) for the period from 2006 to 2021, confirming the influence of social capital on health and public well-being.</w:t>
      </w:r>
    </w:p>
    <w:p w14:paraId="6ACC395E" w14:textId="737AF4C8" w:rsidR="0068464D" w:rsidRDefault="0068464D" w:rsidP="0068464D">
      <w:pPr>
        <w:ind w:firstLine="708"/>
        <w:jc w:val="both"/>
        <w:rPr>
          <w:rFonts w:ascii="Times New Roman" w:hAnsi="Times New Roman" w:cs="Times New Roman"/>
          <w:lang w:val="en-US"/>
        </w:rPr>
      </w:pPr>
      <w:r w:rsidRPr="0068464D">
        <w:rPr>
          <w:rFonts w:ascii="Times New Roman" w:hAnsi="Times New Roman" w:cs="Times New Roman"/>
          <w:b/>
          <w:bCs/>
          <w:lang w:val="en-US"/>
        </w:rPr>
        <w:t>Keywords:</w:t>
      </w:r>
      <w:r w:rsidRPr="0068464D">
        <w:rPr>
          <w:rFonts w:ascii="Times New Roman" w:hAnsi="Times New Roman" w:cs="Times New Roman"/>
          <w:lang w:val="en-US"/>
        </w:rPr>
        <w:t xml:space="preserve"> social capital, health, generalized trust, well-being.</w:t>
      </w:r>
    </w:p>
    <w:p w14:paraId="3B278C60" w14:textId="77777777" w:rsidR="00764478" w:rsidRDefault="00764478" w:rsidP="0068464D">
      <w:pPr>
        <w:ind w:firstLine="708"/>
        <w:jc w:val="both"/>
        <w:rPr>
          <w:rFonts w:ascii="Times New Roman" w:hAnsi="Times New Roman" w:cs="Times New Roman"/>
          <w:lang w:val="en-US"/>
        </w:rPr>
      </w:pPr>
    </w:p>
    <w:p w14:paraId="548365B7" w14:textId="4F365A2C" w:rsidR="00764478" w:rsidRDefault="00764478" w:rsidP="00764478">
      <w:pPr>
        <w:ind w:firstLine="708"/>
        <w:jc w:val="center"/>
        <w:rPr>
          <w:rFonts w:ascii="Times New Roman" w:hAnsi="Times New Roman" w:cs="Times New Roman"/>
          <w:b/>
          <w:bCs/>
          <w:lang w:val="en-US"/>
        </w:rPr>
      </w:pPr>
      <w:r w:rsidRPr="00764478">
        <w:rPr>
          <w:rFonts w:ascii="Times New Roman" w:hAnsi="Times New Roman" w:cs="Times New Roman"/>
          <w:b/>
          <w:bCs/>
          <w:lang w:val="en-US"/>
        </w:rPr>
        <w:t>About the author</w:t>
      </w:r>
    </w:p>
    <w:p w14:paraId="4D972075" w14:textId="23C0E563" w:rsidR="00764478" w:rsidRPr="00764478" w:rsidRDefault="00764478" w:rsidP="00764478">
      <w:pPr>
        <w:ind w:firstLine="708"/>
        <w:jc w:val="both"/>
        <w:rPr>
          <w:rFonts w:ascii="Times New Roman" w:hAnsi="Times New Roman" w:cs="Times New Roman"/>
          <w:lang w:val="en-US"/>
        </w:rPr>
      </w:pPr>
      <w:proofErr w:type="spellStart"/>
      <w:r w:rsidRPr="00764478">
        <w:rPr>
          <w:rFonts w:ascii="Times New Roman" w:hAnsi="Times New Roman" w:cs="Times New Roman"/>
          <w:lang w:val="en-US"/>
        </w:rPr>
        <w:t>Agafonova</w:t>
      </w:r>
      <w:proofErr w:type="spellEnd"/>
      <w:r w:rsidRPr="00764478">
        <w:rPr>
          <w:rFonts w:ascii="Times New Roman" w:hAnsi="Times New Roman" w:cs="Times New Roman"/>
          <w:lang w:val="en-US"/>
        </w:rPr>
        <w:t xml:space="preserve"> Daria </w:t>
      </w:r>
      <w:proofErr w:type="spellStart"/>
      <w:r w:rsidRPr="00764478">
        <w:rPr>
          <w:rFonts w:ascii="Times New Roman" w:hAnsi="Times New Roman" w:cs="Times New Roman"/>
          <w:lang w:val="en-US"/>
        </w:rPr>
        <w:t>Yuryevna</w:t>
      </w:r>
      <w:proofErr w:type="spellEnd"/>
      <w:r w:rsidRPr="00764478">
        <w:rPr>
          <w:rFonts w:ascii="Times New Roman" w:hAnsi="Times New Roman" w:cs="Times New Roman"/>
          <w:lang w:val="en-US"/>
        </w:rPr>
        <w:t xml:space="preserve">, postgraduate student, assistant, Tyumen State University, Tyumen, Russia (625003, </w:t>
      </w:r>
      <w:proofErr w:type="spellStart"/>
      <w:r w:rsidRPr="00764478">
        <w:rPr>
          <w:rFonts w:ascii="Times New Roman" w:hAnsi="Times New Roman" w:cs="Times New Roman"/>
          <w:lang w:val="en-US"/>
        </w:rPr>
        <w:t>Volodarskogo</w:t>
      </w:r>
      <w:proofErr w:type="spellEnd"/>
      <w:r w:rsidRPr="00764478">
        <w:rPr>
          <w:rFonts w:ascii="Times New Roman" w:hAnsi="Times New Roman" w:cs="Times New Roman"/>
          <w:lang w:val="en-US"/>
        </w:rPr>
        <w:t xml:space="preserve"> Street, 6, e-mail: d.y.agafonova@utmn.ru).</w:t>
      </w:r>
    </w:p>
    <w:p w14:paraId="4F18052E" w14:textId="77777777" w:rsidR="00764478" w:rsidRDefault="00764478" w:rsidP="00764478">
      <w:pPr>
        <w:ind w:firstLine="708"/>
        <w:jc w:val="center"/>
        <w:rPr>
          <w:rFonts w:ascii="Times New Roman" w:hAnsi="Times New Roman" w:cs="Times New Roman"/>
          <w:b/>
          <w:bCs/>
          <w:lang w:val="en-US"/>
        </w:rPr>
      </w:pPr>
    </w:p>
    <w:p w14:paraId="5CC80D75" w14:textId="77777777" w:rsidR="00764478" w:rsidRDefault="00764478" w:rsidP="00764478">
      <w:pPr>
        <w:pStyle w:val="ac"/>
        <w:spacing w:before="0" w:beforeAutospacing="0" w:after="0" w:afterAutospacing="0"/>
        <w:jc w:val="center"/>
        <w:rPr>
          <w:b/>
          <w:bCs/>
          <w:color w:val="000000"/>
          <w:lang w:val="en-US"/>
        </w:rPr>
      </w:pPr>
      <w:r w:rsidRPr="00764478">
        <w:rPr>
          <w:b/>
          <w:bCs/>
          <w:color w:val="000000"/>
          <w:lang w:val="en-US"/>
        </w:rPr>
        <w:t>References</w:t>
      </w:r>
    </w:p>
    <w:p w14:paraId="270C32B7" w14:textId="77777777" w:rsidR="00764478" w:rsidRPr="00764478" w:rsidRDefault="00764478" w:rsidP="00764478">
      <w:pPr>
        <w:pStyle w:val="ac"/>
        <w:spacing w:before="0" w:beforeAutospacing="0" w:after="0" w:afterAutospacing="0"/>
        <w:jc w:val="center"/>
        <w:rPr>
          <w:color w:val="000000"/>
          <w:lang w:val="en-US"/>
        </w:rPr>
      </w:pPr>
    </w:p>
    <w:p w14:paraId="0ECD6379" w14:textId="3BA54708" w:rsidR="00764478" w:rsidRPr="00764478" w:rsidRDefault="00764478" w:rsidP="00A936F0">
      <w:pPr>
        <w:pStyle w:val="a7"/>
        <w:numPr>
          <w:ilvl w:val="0"/>
          <w:numId w:val="1"/>
        </w:numPr>
        <w:ind w:left="0" w:firstLine="709"/>
        <w:jc w:val="both"/>
        <w:rPr>
          <w:rFonts w:ascii="Times New Roman" w:hAnsi="Times New Roman" w:cs="Times New Roman"/>
          <w:lang w:val="en-US"/>
        </w:rPr>
      </w:pPr>
      <w:r w:rsidRPr="00764478">
        <w:rPr>
          <w:rFonts w:ascii="Times New Roman" w:hAnsi="Times New Roman" w:cs="Times New Roman"/>
          <w:lang w:val="en-US"/>
        </w:rPr>
        <w:t>Handbook of Social Capital: The Troika of Sociology, Political Science and Economics / G. T. Svendsen, G. L. H. Svendsen.  Cheltenham: Edward Elgar, 2019.  460 p.</w:t>
      </w:r>
    </w:p>
    <w:p w14:paraId="16780080" w14:textId="6F2D4527" w:rsidR="00764478" w:rsidRPr="00A936F0" w:rsidRDefault="00764478" w:rsidP="00A936F0">
      <w:pPr>
        <w:ind w:firstLine="708"/>
        <w:jc w:val="both"/>
        <w:rPr>
          <w:rFonts w:ascii="Times New Roman" w:hAnsi="Times New Roman" w:cs="Times New Roman"/>
          <w:b/>
          <w:bCs/>
        </w:rPr>
      </w:pPr>
    </w:p>
    <w:sectPr w:rsidR="00764478" w:rsidRPr="00A936F0" w:rsidSect="009054F5">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A25A29"/>
    <w:multiLevelType w:val="hybridMultilevel"/>
    <w:tmpl w:val="4A62E5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932021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2"/>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A2C"/>
    <w:rsid w:val="0004104A"/>
    <w:rsid w:val="00323581"/>
    <w:rsid w:val="006110FB"/>
    <w:rsid w:val="0068464D"/>
    <w:rsid w:val="00715289"/>
    <w:rsid w:val="00764478"/>
    <w:rsid w:val="007D4A2C"/>
    <w:rsid w:val="009054F5"/>
    <w:rsid w:val="009B19C6"/>
    <w:rsid w:val="009C4D20"/>
    <w:rsid w:val="00A936F0"/>
    <w:rsid w:val="00B90EA5"/>
    <w:rsid w:val="00D876CC"/>
    <w:rsid w:val="00DE45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E77F2B"/>
  <w15:chartTrackingRefBased/>
  <w15:docId w15:val="{E9359054-6C3D-6B45-9F6F-DAA77AF49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7D4A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7D4A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7D4A2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7D4A2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7D4A2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7D4A2C"/>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7D4A2C"/>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7D4A2C"/>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7D4A2C"/>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D4A2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7D4A2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7D4A2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7D4A2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7D4A2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7D4A2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7D4A2C"/>
    <w:rPr>
      <w:rFonts w:eastAsiaTheme="majorEastAsia" w:cstheme="majorBidi"/>
      <w:color w:val="595959" w:themeColor="text1" w:themeTint="A6"/>
    </w:rPr>
  </w:style>
  <w:style w:type="character" w:customStyle="1" w:styleId="80">
    <w:name w:val="Заголовок 8 Знак"/>
    <w:basedOn w:val="a0"/>
    <w:link w:val="8"/>
    <w:uiPriority w:val="9"/>
    <w:semiHidden/>
    <w:rsid w:val="007D4A2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7D4A2C"/>
    <w:rPr>
      <w:rFonts w:eastAsiaTheme="majorEastAsia" w:cstheme="majorBidi"/>
      <w:color w:val="272727" w:themeColor="text1" w:themeTint="D8"/>
    </w:rPr>
  </w:style>
  <w:style w:type="paragraph" w:styleId="a3">
    <w:name w:val="Title"/>
    <w:basedOn w:val="a"/>
    <w:next w:val="a"/>
    <w:link w:val="a4"/>
    <w:uiPriority w:val="10"/>
    <w:qFormat/>
    <w:rsid w:val="007D4A2C"/>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7D4A2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D4A2C"/>
    <w:pPr>
      <w:numPr>
        <w:ilvl w:val="1"/>
      </w:numPr>
      <w:spacing w:after="160"/>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7D4A2C"/>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7D4A2C"/>
    <w:pPr>
      <w:spacing w:before="160" w:after="160"/>
      <w:jc w:val="center"/>
    </w:pPr>
    <w:rPr>
      <w:i/>
      <w:iCs/>
      <w:color w:val="404040" w:themeColor="text1" w:themeTint="BF"/>
    </w:rPr>
  </w:style>
  <w:style w:type="character" w:customStyle="1" w:styleId="22">
    <w:name w:val="Цитата 2 Знак"/>
    <w:basedOn w:val="a0"/>
    <w:link w:val="21"/>
    <w:uiPriority w:val="29"/>
    <w:rsid w:val="007D4A2C"/>
    <w:rPr>
      <w:i/>
      <w:iCs/>
      <w:color w:val="404040" w:themeColor="text1" w:themeTint="BF"/>
    </w:rPr>
  </w:style>
  <w:style w:type="paragraph" w:styleId="a7">
    <w:name w:val="List Paragraph"/>
    <w:basedOn w:val="a"/>
    <w:uiPriority w:val="34"/>
    <w:qFormat/>
    <w:rsid w:val="007D4A2C"/>
    <w:pPr>
      <w:ind w:left="720"/>
      <w:contextualSpacing/>
    </w:pPr>
  </w:style>
  <w:style w:type="character" w:styleId="a8">
    <w:name w:val="Intense Emphasis"/>
    <w:basedOn w:val="a0"/>
    <w:uiPriority w:val="21"/>
    <w:qFormat/>
    <w:rsid w:val="007D4A2C"/>
    <w:rPr>
      <w:i/>
      <w:iCs/>
      <w:color w:val="0F4761" w:themeColor="accent1" w:themeShade="BF"/>
    </w:rPr>
  </w:style>
  <w:style w:type="paragraph" w:styleId="a9">
    <w:name w:val="Intense Quote"/>
    <w:basedOn w:val="a"/>
    <w:next w:val="a"/>
    <w:link w:val="aa"/>
    <w:uiPriority w:val="30"/>
    <w:qFormat/>
    <w:rsid w:val="007D4A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7D4A2C"/>
    <w:rPr>
      <w:i/>
      <w:iCs/>
      <w:color w:val="0F4761" w:themeColor="accent1" w:themeShade="BF"/>
    </w:rPr>
  </w:style>
  <w:style w:type="character" w:styleId="ab">
    <w:name w:val="Intense Reference"/>
    <w:basedOn w:val="a0"/>
    <w:uiPriority w:val="32"/>
    <w:qFormat/>
    <w:rsid w:val="007D4A2C"/>
    <w:rPr>
      <w:b/>
      <w:bCs/>
      <w:smallCaps/>
      <w:color w:val="0F4761" w:themeColor="accent1" w:themeShade="BF"/>
      <w:spacing w:val="5"/>
    </w:rPr>
  </w:style>
  <w:style w:type="paragraph" w:styleId="ac">
    <w:name w:val="Normal (Web)"/>
    <w:basedOn w:val="a"/>
    <w:uiPriority w:val="99"/>
    <w:semiHidden/>
    <w:unhideWhenUsed/>
    <w:rsid w:val="007D4A2C"/>
    <w:pPr>
      <w:spacing w:before="100" w:beforeAutospacing="1" w:after="100" w:afterAutospacing="1"/>
    </w:pPr>
    <w:rPr>
      <w:rFonts w:ascii="Times New Roman" w:eastAsia="Times New Roman" w:hAnsi="Times New Roman" w:cs="Times New Roman"/>
      <w:kern w:val="0"/>
      <w:lang w:eastAsia="ru-RU"/>
      <w14:ligatures w14:val="none"/>
    </w:rPr>
  </w:style>
  <w:style w:type="character" w:styleId="ad">
    <w:name w:val="Hyperlink"/>
    <w:basedOn w:val="a0"/>
    <w:uiPriority w:val="99"/>
    <w:unhideWhenUsed/>
    <w:rsid w:val="0068464D"/>
    <w:rPr>
      <w:color w:val="467886" w:themeColor="hyperlink"/>
      <w:u w:val="single"/>
    </w:rPr>
  </w:style>
  <w:style w:type="character" w:styleId="ae">
    <w:name w:val="Unresolved Mention"/>
    <w:basedOn w:val="a0"/>
    <w:uiPriority w:val="99"/>
    <w:semiHidden/>
    <w:unhideWhenUsed/>
    <w:rsid w:val="006846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3341446">
      <w:bodyDiv w:val="1"/>
      <w:marLeft w:val="0"/>
      <w:marRight w:val="0"/>
      <w:marTop w:val="0"/>
      <w:marBottom w:val="0"/>
      <w:divBdr>
        <w:top w:val="none" w:sz="0" w:space="0" w:color="auto"/>
        <w:left w:val="none" w:sz="0" w:space="0" w:color="auto"/>
        <w:bottom w:val="none" w:sz="0" w:space="0" w:color="auto"/>
        <w:right w:val="none" w:sz="0" w:space="0" w:color="auto"/>
      </w:divBdr>
      <w:divsChild>
        <w:div w:id="230774427">
          <w:marLeft w:val="0"/>
          <w:marRight w:val="0"/>
          <w:marTop w:val="0"/>
          <w:marBottom w:val="0"/>
          <w:divBdr>
            <w:top w:val="none" w:sz="0" w:space="0" w:color="auto"/>
            <w:left w:val="none" w:sz="0" w:space="0" w:color="auto"/>
            <w:bottom w:val="none" w:sz="0" w:space="0" w:color="auto"/>
            <w:right w:val="none" w:sz="0" w:space="0" w:color="auto"/>
          </w:divBdr>
          <w:divsChild>
            <w:div w:id="2112701792">
              <w:marLeft w:val="0"/>
              <w:marRight w:val="0"/>
              <w:marTop w:val="0"/>
              <w:marBottom w:val="0"/>
              <w:divBdr>
                <w:top w:val="none" w:sz="0" w:space="0" w:color="auto"/>
                <w:left w:val="none" w:sz="0" w:space="0" w:color="auto"/>
                <w:bottom w:val="none" w:sz="0" w:space="0" w:color="auto"/>
                <w:right w:val="none" w:sz="0" w:space="0" w:color="auto"/>
              </w:divBdr>
              <w:divsChild>
                <w:div w:id="219021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053683">
      <w:bodyDiv w:val="1"/>
      <w:marLeft w:val="0"/>
      <w:marRight w:val="0"/>
      <w:marTop w:val="0"/>
      <w:marBottom w:val="0"/>
      <w:divBdr>
        <w:top w:val="none" w:sz="0" w:space="0" w:color="auto"/>
        <w:left w:val="none" w:sz="0" w:space="0" w:color="auto"/>
        <w:bottom w:val="none" w:sz="0" w:space="0" w:color="auto"/>
        <w:right w:val="none" w:sz="0" w:space="0" w:color="auto"/>
      </w:divBdr>
    </w:div>
    <w:div w:id="1197692281">
      <w:bodyDiv w:val="1"/>
      <w:marLeft w:val="0"/>
      <w:marRight w:val="0"/>
      <w:marTop w:val="0"/>
      <w:marBottom w:val="0"/>
      <w:divBdr>
        <w:top w:val="none" w:sz="0" w:space="0" w:color="auto"/>
        <w:left w:val="none" w:sz="0" w:space="0" w:color="auto"/>
        <w:bottom w:val="none" w:sz="0" w:space="0" w:color="auto"/>
        <w:right w:val="none" w:sz="0" w:space="0" w:color="auto"/>
      </w:divBdr>
      <w:divsChild>
        <w:div w:id="1569805270">
          <w:marLeft w:val="0"/>
          <w:marRight w:val="0"/>
          <w:marTop w:val="0"/>
          <w:marBottom w:val="0"/>
          <w:divBdr>
            <w:top w:val="none" w:sz="0" w:space="0" w:color="auto"/>
            <w:left w:val="none" w:sz="0" w:space="0" w:color="auto"/>
            <w:bottom w:val="none" w:sz="0" w:space="0" w:color="auto"/>
            <w:right w:val="none" w:sz="0" w:space="0" w:color="auto"/>
          </w:divBdr>
          <w:divsChild>
            <w:div w:id="1579947772">
              <w:marLeft w:val="0"/>
              <w:marRight w:val="0"/>
              <w:marTop w:val="0"/>
              <w:marBottom w:val="0"/>
              <w:divBdr>
                <w:top w:val="none" w:sz="0" w:space="0" w:color="auto"/>
                <w:left w:val="none" w:sz="0" w:space="0" w:color="auto"/>
                <w:bottom w:val="none" w:sz="0" w:space="0" w:color="auto"/>
                <w:right w:val="none" w:sz="0" w:space="0" w:color="auto"/>
              </w:divBdr>
              <w:divsChild>
                <w:div w:id="522859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4.xml"/><Relationship Id="rId3" Type="http://schemas.openxmlformats.org/officeDocument/2006/relationships/settings" Target="settings.xml"/><Relationship Id="rId7" Type="http://schemas.openxmlformats.org/officeDocument/2006/relationships/chart" Target="charts/chart3.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11" Type="http://schemas.openxmlformats.org/officeDocument/2006/relationships/fontTable" Target="fontTable.xml"/><Relationship Id="rId5" Type="http://schemas.openxmlformats.org/officeDocument/2006/relationships/chart" Target="charts/chart1.xml"/><Relationship Id="rId10" Type="http://schemas.openxmlformats.org/officeDocument/2006/relationships/hyperlink" Target="mailto:d.y.agafonova@utmn.ru" TargetMode="External"/><Relationship Id="rId4" Type="http://schemas.openxmlformats.org/officeDocument/2006/relationships/webSettings" Target="webSettings.xml"/><Relationship Id="rId9" Type="http://schemas.openxmlformats.org/officeDocument/2006/relationships/chart" Target="charts/chart5.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Volumes/USB%20DISK/&#1080;&#1085;&#1076;&#1077;&#1082;&#1089;&#1099;.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Volumes\USB%20DISK\&#1051;&#1080;&#1089;&#1090;%20Microsoft%20Excel.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Volumes/USB%20DISK/&#1090;&#1072;&#1073;&#1083;.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Volumes/USB%20DISK/&#1090;&#1072;&#1073;&#1083;.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Users\daraagafonova\Downloads\tabl-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Лист1!$O$183</c:f>
              <c:strCache>
                <c:ptCount val="1"/>
                <c:pt idx="0">
                  <c:v>Удовлетворенность жизнью,Иуж</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Лист1!$N$184:$N$192</c:f>
              <c:numCache>
                <c:formatCode>General</c:formatCode>
                <c:ptCount val="9"/>
                <c:pt idx="0">
                  <c:v>2006</c:v>
                </c:pt>
                <c:pt idx="1">
                  <c:v>2008</c:v>
                </c:pt>
                <c:pt idx="2" formatCode="###0">
                  <c:v>2010</c:v>
                </c:pt>
                <c:pt idx="3">
                  <c:v>2012</c:v>
                </c:pt>
                <c:pt idx="4" formatCode="###0">
                  <c:v>2014</c:v>
                </c:pt>
                <c:pt idx="5">
                  <c:v>2016</c:v>
                </c:pt>
                <c:pt idx="6" formatCode="###0">
                  <c:v>2018</c:v>
                </c:pt>
                <c:pt idx="7">
                  <c:v>2020</c:v>
                </c:pt>
                <c:pt idx="8" formatCode="###0">
                  <c:v>2021</c:v>
                </c:pt>
              </c:numCache>
            </c:numRef>
          </c:cat>
          <c:val>
            <c:numRef>
              <c:f>Лист1!$O$184:$O$192</c:f>
              <c:numCache>
                <c:formatCode>0.00</c:formatCode>
                <c:ptCount val="9"/>
                <c:pt idx="0">
                  <c:v>0.48817053642914332</c:v>
                </c:pt>
                <c:pt idx="1">
                  <c:v>0.51816725678637665</c:v>
                </c:pt>
                <c:pt idx="2">
                  <c:v>0.53976251964967437</c:v>
                </c:pt>
                <c:pt idx="3">
                  <c:v>0.57404880398137748</c:v>
                </c:pt>
                <c:pt idx="4">
                  <c:v>0.57389771304290516</c:v>
                </c:pt>
                <c:pt idx="5">
                  <c:v>0.56268783483601204</c:v>
                </c:pt>
                <c:pt idx="6">
                  <c:v>0.57190887193898032</c:v>
                </c:pt>
                <c:pt idx="7">
                  <c:v>0.57890951435029792</c:v>
                </c:pt>
                <c:pt idx="8">
                  <c:v>0.57972704204101233</c:v>
                </c:pt>
              </c:numCache>
            </c:numRef>
          </c:val>
          <c:smooth val="0"/>
          <c:extLst>
            <c:ext xmlns:c16="http://schemas.microsoft.com/office/drawing/2014/chart" uri="{C3380CC4-5D6E-409C-BE32-E72D297353CC}">
              <c16:uniqueId val="{00000000-571E-EF46-B2D0-97C87D8D3844}"/>
            </c:ext>
          </c:extLst>
        </c:ser>
        <c:ser>
          <c:idx val="1"/>
          <c:order val="1"/>
          <c:tx>
            <c:strRef>
              <c:f>Лист1!$P$183</c:f>
              <c:strCache>
                <c:ptCount val="1"/>
                <c:pt idx="0">
                  <c:v>Удовлетворенность материальным положением, Иумп</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Лист1!$N$184:$N$192</c:f>
              <c:numCache>
                <c:formatCode>General</c:formatCode>
                <c:ptCount val="9"/>
                <c:pt idx="0">
                  <c:v>2006</c:v>
                </c:pt>
                <c:pt idx="1">
                  <c:v>2008</c:v>
                </c:pt>
                <c:pt idx="2" formatCode="###0">
                  <c:v>2010</c:v>
                </c:pt>
                <c:pt idx="3">
                  <c:v>2012</c:v>
                </c:pt>
                <c:pt idx="4" formatCode="###0">
                  <c:v>2014</c:v>
                </c:pt>
                <c:pt idx="5">
                  <c:v>2016</c:v>
                </c:pt>
                <c:pt idx="6" formatCode="###0">
                  <c:v>2018</c:v>
                </c:pt>
                <c:pt idx="7">
                  <c:v>2020</c:v>
                </c:pt>
                <c:pt idx="8" formatCode="###0">
                  <c:v>2021</c:v>
                </c:pt>
              </c:numCache>
            </c:numRef>
          </c:cat>
          <c:val>
            <c:numRef>
              <c:f>Лист1!$P$184:$P$192</c:f>
              <c:numCache>
                <c:formatCode>0.00</c:formatCode>
                <c:ptCount val="9"/>
                <c:pt idx="0">
                  <c:v>0.32868294635708567</c:v>
                </c:pt>
                <c:pt idx="1">
                  <c:v>0.35461979430112966</c:v>
                </c:pt>
                <c:pt idx="2">
                  <c:v>0.36281720188636873</c:v>
                </c:pt>
                <c:pt idx="3">
                  <c:v>0.38320757746026651</c:v>
                </c:pt>
                <c:pt idx="4">
                  <c:v>0.37263560271534962</c:v>
                </c:pt>
                <c:pt idx="5">
                  <c:v>0.33744936626159677</c:v>
                </c:pt>
                <c:pt idx="6">
                  <c:v>0.3470159239930416</c:v>
                </c:pt>
                <c:pt idx="7">
                  <c:v>0.36463113911911776</c:v>
                </c:pt>
                <c:pt idx="8">
                  <c:v>0.36350387490569919</c:v>
                </c:pt>
              </c:numCache>
            </c:numRef>
          </c:val>
          <c:smooth val="0"/>
          <c:extLst>
            <c:ext xmlns:c16="http://schemas.microsoft.com/office/drawing/2014/chart" uri="{C3380CC4-5D6E-409C-BE32-E72D297353CC}">
              <c16:uniqueId val="{00000001-571E-EF46-B2D0-97C87D8D3844}"/>
            </c:ext>
          </c:extLst>
        </c:ser>
        <c:ser>
          <c:idx val="2"/>
          <c:order val="2"/>
          <c:tx>
            <c:strRef>
              <c:f>Лист1!$Q$183</c:f>
              <c:strCache>
                <c:ptCount val="1"/>
                <c:pt idx="0">
                  <c:v>Социальный оптимизм (тактический оптимизм), Исо</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Лист1!$N$184:$N$192</c:f>
              <c:numCache>
                <c:formatCode>General</c:formatCode>
                <c:ptCount val="9"/>
                <c:pt idx="0">
                  <c:v>2006</c:v>
                </c:pt>
                <c:pt idx="1">
                  <c:v>2008</c:v>
                </c:pt>
                <c:pt idx="2" formatCode="###0">
                  <c:v>2010</c:v>
                </c:pt>
                <c:pt idx="3">
                  <c:v>2012</c:v>
                </c:pt>
                <c:pt idx="4" formatCode="###0">
                  <c:v>2014</c:v>
                </c:pt>
                <c:pt idx="5">
                  <c:v>2016</c:v>
                </c:pt>
                <c:pt idx="6" formatCode="###0">
                  <c:v>2018</c:v>
                </c:pt>
                <c:pt idx="7">
                  <c:v>2020</c:v>
                </c:pt>
                <c:pt idx="8" formatCode="###0">
                  <c:v>2021</c:v>
                </c:pt>
              </c:numCache>
            </c:numRef>
          </c:cat>
          <c:val>
            <c:numRef>
              <c:f>Лист1!$Q$184:$Q$192</c:f>
              <c:numCache>
                <c:formatCode>0.00</c:formatCode>
                <c:ptCount val="9"/>
                <c:pt idx="0">
                  <c:v>0.45472377902321859</c:v>
                </c:pt>
                <c:pt idx="1">
                  <c:v>0.41666666666666669</c:v>
                </c:pt>
                <c:pt idx="2">
                  <c:v>0.46729732764428478</c:v>
                </c:pt>
                <c:pt idx="3">
                  <c:v>0.47116979718520896</c:v>
                </c:pt>
                <c:pt idx="4">
                  <c:v>0.41992354840835694</c:v>
                </c:pt>
                <c:pt idx="5">
                  <c:v>0.41325297269044819</c:v>
                </c:pt>
                <c:pt idx="6">
                  <c:v>0.429479459387127</c:v>
                </c:pt>
                <c:pt idx="7">
                  <c:v>0.39810945955202409</c:v>
                </c:pt>
                <c:pt idx="8">
                  <c:v>0.40359028873191138</c:v>
                </c:pt>
              </c:numCache>
            </c:numRef>
          </c:val>
          <c:smooth val="0"/>
          <c:extLst>
            <c:ext xmlns:c16="http://schemas.microsoft.com/office/drawing/2014/chart" uri="{C3380CC4-5D6E-409C-BE32-E72D297353CC}">
              <c16:uniqueId val="{00000002-571E-EF46-B2D0-97C87D8D3844}"/>
            </c:ext>
          </c:extLst>
        </c:ser>
        <c:ser>
          <c:idx val="3"/>
          <c:order val="3"/>
          <c:tx>
            <c:strRef>
              <c:f>Лист1!$R$183</c:f>
              <c:strCache>
                <c:ptCount val="1"/>
                <c:pt idx="0">
                  <c:v>Защищенность, Изащ</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Лист1!$N$184:$N$192</c:f>
              <c:numCache>
                <c:formatCode>General</c:formatCode>
                <c:ptCount val="9"/>
                <c:pt idx="0">
                  <c:v>2006</c:v>
                </c:pt>
                <c:pt idx="1">
                  <c:v>2008</c:v>
                </c:pt>
                <c:pt idx="2" formatCode="###0">
                  <c:v>2010</c:v>
                </c:pt>
                <c:pt idx="3">
                  <c:v>2012</c:v>
                </c:pt>
                <c:pt idx="4" formatCode="###0">
                  <c:v>2014</c:v>
                </c:pt>
                <c:pt idx="5">
                  <c:v>2016</c:v>
                </c:pt>
                <c:pt idx="6" formatCode="###0">
                  <c:v>2018</c:v>
                </c:pt>
                <c:pt idx="7">
                  <c:v>2020</c:v>
                </c:pt>
                <c:pt idx="8" formatCode="###0">
                  <c:v>2021</c:v>
                </c:pt>
              </c:numCache>
            </c:numRef>
          </c:cat>
          <c:val>
            <c:numRef>
              <c:f>Лист1!$R$184:$R$192</c:f>
              <c:numCache>
                <c:formatCode>0.00</c:formatCode>
                <c:ptCount val="9"/>
                <c:pt idx="0">
                  <c:v>0.29801841473178542</c:v>
                </c:pt>
                <c:pt idx="1">
                  <c:v>0.30262603270949251</c:v>
                </c:pt>
                <c:pt idx="2">
                  <c:v>0.32973557152481475</c:v>
                </c:pt>
                <c:pt idx="3">
                  <c:v>0.33394873441429873</c:v>
                </c:pt>
                <c:pt idx="4">
                  <c:v>0.31673037632636919</c:v>
                </c:pt>
                <c:pt idx="5">
                  <c:v>0.3078857964197047</c:v>
                </c:pt>
                <c:pt idx="6">
                  <c:v>0.31393014853472501</c:v>
                </c:pt>
                <c:pt idx="7">
                  <c:v>0.31680252072059728</c:v>
                </c:pt>
                <c:pt idx="8">
                  <c:v>0.33651669981482751</c:v>
                </c:pt>
              </c:numCache>
            </c:numRef>
          </c:val>
          <c:smooth val="0"/>
          <c:extLst>
            <c:ext xmlns:c16="http://schemas.microsoft.com/office/drawing/2014/chart" uri="{C3380CC4-5D6E-409C-BE32-E72D297353CC}">
              <c16:uniqueId val="{00000003-571E-EF46-B2D0-97C87D8D3844}"/>
            </c:ext>
          </c:extLst>
        </c:ser>
        <c:ser>
          <c:idx val="4"/>
          <c:order val="4"/>
          <c:tx>
            <c:strRef>
              <c:f>Лист1!$S$183</c:f>
              <c:strCache>
                <c:ptCount val="1"/>
                <c:pt idx="0">
                  <c:v>Здоровье, Изд</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Лист1!$N$184:$N$192</c:f>
              <c:numCache>
                <c:formatCode>General</c:formatCode>
                <c:ptCount val="9"/>
                <c:pt idx="0">
                  <c:v>2006</c:v>
                </c:pt>
                <c:pt idx="1">
                  <c:v>2008</c:v>
                </c:pt>
                <c:pt idx="2" formatCode="###0">
                  <c:v>2010</c:v>
                </c:pt>
                <c:pt idx="3">
                  <c:v>2012</c:v>
                </c:pt>
                <c:pt idx="4" formatCode="###0">
                  <c:v>2014</c:v>
                </c:pt>
                <c:pt idx="5">
                  <c:v>2016</c:v>
                </c:pt>
                <c:pt idx="6" formatCode="###0">
                  <c:v>2018</c:v>
                </c:pt>
                <c:pt idx="7">
                  <c:v>2020</c:v>
                </c:pt>
                <c:pt idx="8" formatCode="###0">
                  <c:v>2021</c:v>
                </c:pt>
              </c:numCache>
            </c:numRef>
          </c:cat>
          <c:val>
            <c:numRef>
              <c:f>Лист1!$S$184:$S$192</c:f>
              <c:numCache>
                <c:formatCode>0.00</c:formatCode>
                <c:ptCount val="9"/>
                <c:pt idx="0">
                  <c:v>0.55915991558308942</c:v>
                </c:pt>
                <c:pt idx="1">
                  <c:v>0.56823042920290889</c:v>
                </c:pt>
                <c:pt idx="2">
                  <c:v>0.57497774445954175</c:v>
                </c:pt>
                <c:pt idx="3">
                  <c:v>0.58230895535635041</c:v>
                </c:pt>
                <c:pt idx="4">
                  <c:v>0.58376877857609411</c:v>
                </c:pt>
                <c:pt idx="5">
                  <c:v>0.58885156749840051</c:v>
                </c:pt>
                <c:pt idx="6">
                  <c:v>0.58044038609191617</c:v>
                </c:pt>
                <c:pt idx="7">
                  <c:v>0.59759335630755328</c:v>
                </c:pt>
                <c:pt idx="8">
                  <c:v>0.59625106503834135</c:v>
                </c:pt>
              </c:numCache>
            </c:numRef>
          </c:val>
          <c:smooth val="0"/>
          <c:extLst>
            <c:ext xmlns:c16="http://schemas.microsoft.com/office/drawing/2014/chart" uri="{C3380CC4-5D6E-409C-BE32-E72D297353CC}">
              <c16:uniqueId val="{00000004-571E-EF46-B2D0-97C87D8D3844}"/>
            </c:ext>
          </c:extLst>
        </c:ser>
        <c:ser>
          <c:idx val="5"/>
          <c:order val="5"/>
          <c:tx>
            <c:strRef>
              <c:f>Лист1!$T$183</c:f>
              <c:strCache>
                <c:ptCount val="1"/>
                <c:pt idx="0">
                  <c:v>Материальное благополучие, Имб</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Лист1!$N$184:$N$192</c:f>
              <c:numCache>
                <c:formatCode>General</c:formatCode>
                <c:ptCount val="9"/>
                <c:pt idx="0">
                  <c:v>2006</c:v>
                </c:pt>
                <c:pt idx="1">
                  <c:v>2008</c:v>
                </c:pt>
                <c:pt idx="2" formatCode="###0">
                  <c:v>2010</c:v>
                </c:pt>
                <c:pt idx="3">
                  <c:v>2012</c:v>
                </c:pt>
                <c:pt idx="4" formatCode="###0">
                  <c:v>2014</c:v>
                </c:pt>
                <c:pt idx="5">
                  <c:v>2016</c:v>
                </c:pt>
                <c:pt idx="6" formatCode="###0">
                  <c:v>2018</c:v>
                </c:pt>
                <c:pt idx="7">
                  <c:v>2020</c:v>
                </c:pt>
                <c:pt idx="8" formatCode="###0">
                  <c:v>2021</c:v>
                </c:pt>
              </c:numCache>
            </c:numRef>
          </c:cat>
          <c:val>
            <c:numRef>
              <c:f>Лист1!$T$184:$T$192</c:f>
              <c:numCache>
                <c:formatCode>0.00</c:formatCode>
                <c:ptCount val="9"/>
                <c:pt idx="0">
                  <c:v>0.51603282626100877</c:v>
                </c:pt>
                <c:pt idx="1">
                  <c:v>0.51481621986174342</c:v>
                </c:pt>
                <c:pt idx="2">
                  <c:v>0.49205591735908377</c:v>
                </c:pt>
                <c:pt idx="3">
                  <c:v>0.51327125809386209</c:v>
                </c:pt>
                <c:pt idx="4">
                  <c:v>0.47556514861925792</c:v>
                </c:pt>
                <c:pt idx="5">
                  <c:v>0.4265810793153012</c:v>
                </c:pt>
                <c:pt idx="6">
                  <c:v>0.4600896560952763</c:v>
                </c:pt>
                <c:pt idx="7">
                  <c:v>0.43189602027536134</c:v>
                </c:pt>
                <c:pt idx="8">
                  <c:v>0.45744461971058226</c:v>
                </c:pt>
              </c:numCache>
            </c:numRef>
          </c:val>
          <c:smooth val="0"/>
          <c:extLst>
            <c:ext xmlns:c16="http://schemas.microsoft.com/office/drawing/2014/chart" uri="{C3380CC4-5D6E-409C-BE32-E72D297353CC}">
              <c16:uniqueId val="{00000005-571E-EF46-B2D0-97C87D8D3844}"/>
            </c:ext>
          </c:extLst>
        </c:ser>
        <c:dLbls>
          <c:showLegendKey val="0"/>
          <c:showVal val="0"/>
          <c:showCatName val="0"/>
          <c:showSerName val="0"/>
          <c:showPercent val="0"/>
          <c:showBubbleSize val="0"/>
        </c:dLbls>
        <c:marker val="1"/>
        <c:smooth val="0"/>
        <c:axId val="358500944"/>
        <c:axId val="358502672"/>
      </c:lineChart>
      <c:catAx>
        <c:axId val="358500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58502672"/>
        <c:crosses val="autoZero"/>
        <c:auto val="1"/>
        <c:lblAlgn val="ctr"/>
        <c:lblOffset val="100"/>
        <c:noMultiLvlLbl val="0"/>
      </c:catAx>
      <c:valAx>
        <c:axId val="358502672"/>
        <c:scaling>
          <c:orientation val="minMax"/>
          <c:max val="0.60000000000000009"/>
          <c:min val="0.25"/>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58500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800">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Лист1!$U$448</c:f>
              <c:strCache>
                <c:ptCount val="1"/>
                <c:pt idx="0">
                  <c:v>Очень хорошее</c:v>
                </c:pt>
              </c:strCache>
            </c:strRef>
          </c:tx>
          <c:spPr>
            <a:solidFill>
              <a:schemeClr val="accent1"/>
            </a:solidFill>
            <a:ln>
              <a:noFill/>
            </a:ln>
            <a:effectLst/>
          </c:spPr>
          <c:invertIfNegative val="0"/>
          <c:cat>
            <c:numRef>
              <c:f>Лист1!$T$449:$T$457</c:f>
              <c:numCache>
                <c:formatCode>General</c:formatCode>
                <c:ptCount val="9"/>
                <c:pt idx="0">
                  <c:v>2006</c:v>
                </c:pt>
                <c:pt idx="1">
                  <c:v>2008</c:v>
                </c:pt>
                <c:pt idx="2">
                  <c:v>2010</c:v>
                </c:pt>
                <c:pt idx="3">
                  <c:v>2012</c:v>
                </c:pt>
                <c:pt idx="4">
                  <c:v>2014</c:v>
                </c:pt>
                <c:pt idx="5">
                  <c:v>2016</c:v>
                </c:pt>
                <c:pt idx="6">
                  <c:v>2018</c:v>
                </c:pt>
                <c:pt idx="7">
                  <c:v>2020</c:v>
                </c:pt>
                <c:pt idx="8">
                  <c:v>2021</c:v>
                </c:pt>
              </c:numCache>
            </c:numRef>
          </c:cat>
          <c:val>
            <c:numRef>
              <c:f>Лист1!$U$449:$U$457</c:f>
              <c:numCache>
                <c:formatCode>General</c:formatCode>
                <c:ptCount val="9"/>
                <c:pt idx="0">
                  <c:v>2.1</c:v>
                </c:pt>
                <c:pt idx="1">
                  <c:v>2.7</c:v>
                </c:pt>
                <c:pt idx="2">
                  <c:v>2.2000000000000002</c:v>
                </c:pt>
                <c:pt idx="3">
                  <c:v>2.5</c:v>
                </c:pt>
                <c:pt idx="4">
                  <c:v>2.5</c:v>
                </c:pt>
                <c:pt idx="5">
                  <c:v>2.5</c:v>
                </c:pt>
                <c:pt idx="6">
                  <c:v>2.4</c:v>
                </c:pt>
                <c:pt idx="7">
                  <c:v>2.2999999999999998</c:v>
                </c:pt>
                <c:pt idx="8">
                  <c:v>3.1</c:v>
                </c:pt>
              </c:numCache>
            </c:numRef>
          </c:val>
          <c:extLst>
            <c:ext xmlns:c16="http://schemas.microsoft.com/office/drawing/2014/chart" uri="{C3380CC4-5D6E-409C-BE32-E72D297353CC}">
              <c16:uniqueId val="{00000000-1916-B344-85DE-A6993E6D2527}"/>
            </c:ext>
          </c:extLst>
        </c:ser>
        <c:ser>
          <c:idx val="1"/>
          <c:order val="1"/>
          <c:tx>
            <c:strRef>
              <c:f>Лист1!$V$448</c:f>
              <c:strCache>
                <c:ptCount val="1"/>
                <c:pt idx="0">
                  <c:v>Хорошее</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Лист1!$T$449:$T$457</c:f>
              <c:numCache>
                <c:formatCode>General</c:formatCode>
                <c:ptCount val="9"/>
                <c:pt idx="0">
                  <c:v>2006</c:v>
                </c:pt>
                <c:pt idx="1">
                  <c:v>2008</c:v>
                </c:pt>
                <c:pt idx="2">
                  <c:v>2010</c:v>
                </c:pt>
                <c:pt idx="3">
                  <c:v>2012</c:v>
                </c:pt>
                <c:pt idx="4">
                  <c:v>2014</c:v>
                </c:pt>
                <c:pt idx="5">
                  <c:v>2016</c:v>
                </c:pt>
                <c:pt idx="6">
                  <c:v>2018</c:v>
                </c:pt>
                <c:pt idx="7">
                  <c:v>2020</c:v>
                </c:pt>
                <c:pt idx="8">
                  <c:v>2021</c:v>
                </c:pt>
              </c:numCache>
            </c:numRef>
          </c:cat>
          <c:val>
            <c:numRef>
              <c:f>Лист1!$V$449:$V$457</c:f>
              <c:numCache>
                <c:formatCode>General</c:formatCode>
                <c:ptCount val="9"/>
                <c:pt idx="0">
                  <c:v>34.1</c:v>
                </c:pt>
                <c:pt idx="1">
                  <c:v>36.700000000000003</c:v>
                </c:pt>
                <c:pt idx="2">
                  <c:v>38.5</c:v>
                </c:pt>
                <c:pt idx="3">
                  <c:v>40.700000000000003</c:v>
                </c:pt>
                <c:pt idx="4">
                  <c:v>41.6</c:v>
                </c:pt>
                <c:pt idx="5">
                  <c:v>43</c:v>
                </c:pt>
                <c:pt idx="6">
                  <c:v>40.700000000000003</c:v>
                </c:pt>
                <c:pt idx="7">
                  <c:v>45.5</c:v>
                </c:pt>
                <c:pt idx="8">
                  <c:v>44.1</c:v>
                </c:pt>
              </c:numCache>
            </c:numRef>
          </c:val>
          <c:extLst>
            <c:ext xmlns:c16="http://schemas.microsoft.com/office/drawing/2014/chart" uri="{C3380CC4-5D6E-409C-BE32-E72D297353CC}">
              <c16:uniqueId val="{00000001-1916-B344-85DE-A6993E6D2527}"/>
            </c:ext>
          </c:extLst>
        </c:ser>
        <c:ser>
          <c:idx val="2"/>
          <c:order val="2"/>
          <c:tx>
            <c:strRef>
              <c:f>Лист1!$W$448</c:f>
              <c:strCache>
                <c:ptCount val="1"/>
                <c:pt idx="0">
                  <c:v>Среднее, не хорошее, но и не плохое</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Лист1!$T$449:$T$457</c:f>
              <c:numCache>
                <c:formatCode>General</c:formatCode>
                <c:ptCount val="9"/>
                <c:pt idx="0">
                  <c:v>2006</c:v>
                </c:pt>
                <c:pt idx="1">
                  <c:v>2008</c:v>
                </c:pt>
                <c:pt idx="2">
                  <c:v>2010</c:v>
                </c:pt>
                <c:pt idx="3">
                  <c:v>2012</c:v>
                </c:pt>
                <c:pt idx="4">
                  <c:v>2014</c:v>
                </c:pt>
                <c:pt idx="5">
                  <c:v>2016</c:v>
                </c:pt>
                <c:pt idx="6">
                  <c:v>2018</c:v>
                </c:pt>
                <c:pt idx="7">
                  <c:v>2020</c:v>
                </c:pt>
                <c:pt idx="8">
                  <c:v>2021</c:v>
                </c:pt>
              </c:numCache>
            </c:numRef>
          </c:cat>
          <c:val>
            <c:numRef>
              <c:f>Лист1!$W$449:$W$457</c:f>
              <c:numCache>
                <c:formatCode>General</c:formatCode>
                <c:ptCount val="9"/>
                <c:pt idx="0">
                  <c:v>51.2</c:v>
                </c:pt>
                <c:pt idx="1">
                  <c:v>47.9</c:v>
                </c:pt>
                <c:pt idx="2">
                  <c:v>48</c:v>
                </c:pt>
                <c:pt idx="3">
                  <c:v>45.9</c:v>
                </c:pt>
                <c:pt idx="4">
                  <c:v>44.9</c:v>
                </c:pt>
                <c:pt idx="5">
                  <c:v>43.7</c:v>
                </c:pt>
                <c:pt idx="6">
                  <c:v>45.2</c:v>
                </c:pt>
                <c:pt idx="7">
                  <c:v>42.6</c:v>
                </c:pt>
                <c:pt idx="8">
                  <c:v>42.8</c:v>
                </c:pt>
              </c:numCache>
            </c:numRef>
          </c:val>
          <c:extLst>
            <c:ext xmlns:c16="http://schemas.microsoft.com/office/drawing/2014/chart" uri="{C3380CC4-5D6E-409C-BE32-E72D297353CC}">
              <c16:uniqueId val="{00000002-1916-B344-85DE-A6993E6D2527}"/>
            </c:ext>
          </c:extLst>
        </c:ser>
        <c:ser>
          <c:idx val="3"/>
          <c:order val="3"/>
          <c:tx>
            <c:strRef>
              <c:f>Лист1!$X$448</c:f>
              <c:strCache>
                <c:ptCount val="1"/>
                <c:pt idx="0">
                  <c:v>Плохое</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Лист1!$T$449:$T$457</c:f>
              <c:numCache>
                <c:formatCode>General</c:formatCode>
                <c:ptCount val="9"/>
                <c:pt idx="0">
                  <c:v>2006</c:v>
                </c:pt>
                <c:pt idx="1">
                  <c:v>2008</c:v>
                </c:pt>
                <c:pt idx="2">
                  <c:v>2010</c:v>
                </c:pt>
                <c:pt idx="3">
                  <c:v>2012</c:v>
                </c:pt>
                <c:pt idx="4">
                  <c:v>2014</c:v>
                </c:pt>
                <c:pt idx="5">
                  <c:v>2016</c:v>
                </c:pt>
                <c:pt idx="6">
                  <c:v>2018</c:v>
                </c:pt>
                <c:pt idx="7">
                  <c:v>2020</c:v>
                </c:pt>
                <c:pt idx="8">
                  <c:v>2021</c:v>
                </c:pt>
              </c:numCache>
            </c:numRef>
          </c:cat>
          <c:val>
            <c:numRef>
              <c:f>Лист1!$X$449:$X$457</c:f>
              <c:numCache>
                <c:formatCode>General</c:formatCode>
                <c:ptCount val="9"/>
                <c:pt idx="0">
                  <c:v>10.7</c:v>
                </c:pt>
                <c:pt idx="1">
                  <c:v>10.7</c:v>
                </c:pt>
                <c:pt idx="2">
                  <c:v>9.6999999999999993</c:v>
                </c:pt>
                <c:pt idx="3">
                  <c:v>8.9</c:v>
                </c:pt>
                <c:pt idx="4">
                  <c:v>9</c:v>
                </c:pt>
                <c:pt idx="5">
                  <c:v>9</c:v>
                </c:pt>
                <c:pt idx="6">
                  <c:v>10.1</c:v>
                </c:pt>
                <c:pt idx="7">
                  <c:v>8.1999999999999993</c:v>
                </c:pt>
                <c:pt idx="8">
                  <c:v>8.1999999999999993</c:v>
                </c:pt>
              </c:numCache>
            </c:numRef>
          </c:val>
          <c:extLst>
            <c:ext xmlns:c16="http://schemas.microsoft.com/office/drawing/2014/chart" uri="{C3380CC4-5D6E-409C-BE32-E72D297353CC}">
              <c16:uniqueId val="{00000003-1916-B344-85DE-A6993E6D2527}"/>
            </c:ext>
          </c:extLst>
        </c:ser>
        <c:ser>
          <c:idx val="4"/>
          <c:order val="4"/>
          <c:tx>
            <c:strRef>
              <c:f>Лист1!$Y$448</c:f>
              <c:strCache>
                <c:ptCount val="1"/>
                <c:pt idx="0">
                  <c:v>Совсем плохое</c:v>
                </c:pt>
              </c:strCache>
            </c:strRef>
          </c:tx>
          <c:spPr>
            <a:solidFill>
              <a:schemeClr val="accent5"/>
            </a:solidFill>
            <a:ln>
              <a:noFill/>
            </a:ln>
            <a:effectLst/>
          </c:spPr>
          <c:invertIfNegative val="0"/>
          <c:cat>
            <c:numRef>
              <c:f>Лист1!$T$449:$T$457</c:f>
              <c:numCache>
                <c:formatCode>General</c:formatCode>
                <c:ptCount val="9"/>
                <c:pt idx="0">
                  <c:v>2006</c:v>
                </c:pt>
                <c:pt idx="1">
                  <c:v>2008</c:v>
                </c:pt>
                <c:pt idx="2">
                  <c:v>2010</c:v>
                </c:pt>
                <c:pt idx="3">
                  <c:v>2012</c:v>
                </c:pt>
                <c:pt idx="4">
                  <c:v>2014</c:v>
                </c:pt>
                <c:pt idx="5">
                  <c:v>2016</c:v>
                </c:pt>
                <c:pt idx="6">
                  <c:v>2018</c:v>
                </c:pt>
                <c:pt idx="7">
                  <c:v>2020</c:v>
                </c:pt>
                <c:pt idx="8">
                  <c:v>2021</c:v>
                </c:pt>
              </c:numCache>
            </c:numRef>
          </c:cat>
          <c:val>
            <c:numRef>
              <c:f>Лист1!$Y$449:$Y$457</c:f>
              <c:numCache>
                <c:formatCode>General</c:formatCode>
                <c:ptCount val="9"/>
                <c:pt idx="0">
                  <c:v>1.6</c:v>
                </c:pt>
                <c:pt idx="1">
                  <c:v>1.8</c:v>
                </c:pt>
                <c:pt idx="2">
                  <c:v>1.3</c:v>
                </c:pt>
                <c:pt idx="3">
                  <c:v>1.3</c:v>
                </c:pt>
                <c:pt idx="4">
                  <c:v>1.2</c:v>
                </c:pt>
                <c:pt idx="5">
                  <c:v>1.1000000000000001</c:v>
                </c:pt>
                <c:pt idx="6">
                  <c:v>1.2</c:v>
                </c:pt>
                <c:pt idx="7">
                  <c:v>0.7</c:v>
                </c:pt>
                <c:pt idx="8">
                  <c:v>0.8</c:v>
                </c:pt>
              </c:numCache>
            </c:numRef>
          </c:val>
          <c:extLst>
            <c:ext xmlns:c16="http://schemas.microsoft.com/office/drawing/2014/chart" uri="{C3380CC4-5D6E-409C-BE32-E72D297353CC}">
              <c16:uniqueId val="{00000004-1916-B344-85DE-A6993E6D2527}"/>
            </c:ext>
          </c:extLst>
        </c:ser>
        <c:dLbls>
          <c:showLegendKey val="0"/>
          <c:showVal val="0"/>
          <c:showCatName val="0"/>
          <c:showSerName val="0"/>
          <c:showPercent val="0"/>
          <c:showBubbleSize val="0"/>
        </c:dLbls>
        <c:gapWidth val="55"/>
        <c:overlap val="100"/>
        <c:axId val="-697877632"/>
        <c:axId val="-697876544"/>
      </c:barChart>
      <c:catAx>
        <c:axId val="-6978776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697876544"/>
        <c:crosses val="autoZero"/>
        <c:auto val="1"/>
        <c:lblAlgn val="ctr"/>
        <c:lblOffset val="100"/>
        <c:noMultiLvlLbl val="0"/>
      </c:catAx>
      <c:valAx>
        <c:axId val="-697876544"/>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69787763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800">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Мужчины</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manualLayout>
          <c:layoutTarget val="inner"/>
          <c:xMode val="edge"/>
          <c:yMode val="edge"/>
          <c:x val="5.6030811365970559E-2"/>
          <c:y val="0.13800000000000001"/>
          <c:w val="0.57617562478603213"/>
          <c:h val="0.80233354847037563"/>
        </c:manualLayout>
      </c:layout>
      <c:lineChart>
        <c:grouping val="standard"/>
        <c:varyColors val="0"/>
        <c:ser>
          <c:idx val="0"/>
          <c:order val="0"/>
          <c:tx>
            <c:strRef>
              <c:f>Лист2!$P$5</c:f>
              <c:strCache>
                <c:ptCount val="1"/>
                <c:pt idx="0">
                  <c:v>Материальное благополучие, Имб</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Лист2!$O$6:$O$10</c:f>
              <c:strCache>
                <c:ptCount val="5"/>
                <c:pt idx="0">
                  <c:v>&gt;18</c:v>
                </c:pt>
                <c:pt idx="1">
                  <c:v>19-29</c:v>
                </c:pt>
                <c:pt idx="2">
                  <c:v>30-44</c:v>
                </c:pt>
                <c:pt idx="3">
                  <c:v>45-59</c:v>
                </c:pt>
                <c:pt idx="4">
                  <c:v>&lt;60</c:v>
                </c:pt>
              </c:strCache>
            </c:strRef>
          </c:cat>
          <c:val>
            <c:numRef>
              <c:f>Лист2!$P$6:$P$10</c:f>
              <c:numCache>
                <c:formatCode>0.00</c:formatCode>
                <c:ptCount val="5"/>
                <c:pt idx="0">
                  <c:v>0.44710578842315368</c:v>
                </c:pt>
                <c:pt idx="1">
                  <c:v>0.49004683840749413</c:v>
                </c:pt>
                <c:pt idx="2">
                  <c:v>0.47295548654244307</c:v>
                </c:pt>
                <c:pt idx="3">
                  <c:v>0.44579124579124579</c:v>
                </c:pt>
                <c:pt idx="4">
                  <c:v>0.452914798206278</c:v>
                </c:pt>
              </c:numCache>
            </c:numRef>
          </c:val>
          <c:smooth val="0"/>
          <c:extLst>
            <c:ext xmlns:c16="http://schemas.microsoft.com/office/drawing/2014/chart" uri="{C3380CC4-5D6E-409C-BE32-E72D297353CC}">
              <c16:uniqueId val="{00000000-5083-D841-BEED-5695E59653C9}"/>
            </c:ext>
          </c:extLst>
        </c:ser>
        <c:ser>
          <c:idx val="1"/>
          <c:order val="1"/>
          <c:tx>
            <c:strRef>
              <c:f>Лист2!$Q$5</c:f>
              <c:strCache>
                <c:ptCount val="1"/>
                <c:pt idx="0">
                  <c:v>Социальный оптимизм (тактический оптимизм), Исо</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Лист2!$O$6:$O$10</c:f>
              <c:strCache>
                <c:ptCount val="5"/>
                <c:pt idx="0">
                  <c:v>&gt;18</c:v>
                </c:pt>
                <c:pt idx="1">
                  <c:v>19-29</c:v>
                </c:pt>
                <c:pt idx="2">
                  <c:v>30-44</c:v>
                </c:pt>
                <c:pt idx="3">
                  <c:v>45-59</c:v>
                </c:pt>
                <c:pt idx="4">
                  <c:v>&lt;60</c:v>
                </c:pt>
              </c:strCache>
            </c:strRef>
          </c:cat>
          <c:val>
            <c:numRef>
              <c:f>Лист2!$Q$6:$Q$10</c:f>
              <c:numCache>
                <c:formatCode>0.00</c:formatCode>
                <c:ptCount val="5"/>
                <c:pt idx="0">
                  <c:v>0.42864271457085829</c:v>
                </c:pt>
                <c:pt idx="1">
                  <c:v>0.44291569086651056</c:v>
                </c:pt>
                <c:pt idx="2">
                  <c:v>0.43012422360248448</c:v>
                </c:pt>
                <c:pt idx="3">
                  <c:v>0.38164983164983163</c:v>
                </c:pt>
                <c:pt idx="4">
                  <c:v>0.38789237668161436</c:v>
                </c:pt>
              </c:numCache>
            </c:numRef>
          </c:val>
          <c:smooth val="0"/>
          <c:extLst>
            <c:ext xmlns:c16="http://schemas.microsoft.com/office/drawing/2014/chart" uri="{C3380CC4-5D6E-409C-BE32-E72D297353CC}">
              <c16:uniqueId val="{00000001-5083-D841-BEED-5695E59653C9}"/>
            </c:ext>
          </c:extLst>
        </c:ser>
        <c:ser>
          <c:idx val="2"/>
          <c:order val="2"/>
          <c:tx>
            <c:strRef>
              <c:f>Лист2!$R$5</c:f>
              <c:strCache>
                <c:ptCount val="1"/>
                <c:pt idx="0">
                  <c:v>Удовлетворенность жизнью, Иуж</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Лист2!$O$6:$O$10</c:f>
              <c:strCache>
                <c:ptCount val="5"/>
                <c:pt idx="0">
                  <c:v>&gt;18</c:v>
                </c:pt>
                <c:pt idx="1">
                  <c:v>19-29</c:v>
                </c:pt>
                <c:pt idx="2">
                  <c:v>30-44</c:v>
                </c:pt>
                <c:pt idx="3">
                  <c:v>45-59</c:v>
                </c:pt>
                <c:pt idx="4">
                  <c:v>&lt;60</c:v>
                </c:pt>
              </c:strCache>
            </c:strRef>
          </c:cat>
          <c:val>
            <c:numRef>
              <c:f>Лист2!$R$6:$R$10</c:f>
              <c:numCache>
                <c:formatCode>0.00</c:formatCode>
                <c:ptCount val="5"/>
                <c:pt idx="0">
                  <c:v>0.7010978043912176</c:v>
                </c:pt>
                <c:pt idx="1">
                  <c:v>0.62119437939110067</c:v>
                </c:pt>
                <c:pt idx="2">
                  <c:v>0.6019668737060041</c:v>
                </c:pt>
                <c:pt idx="3">
                  <c:v>0.56902356902356899</c:v>
                </c:pt>
                <c:pt idx="4">
                  <c:v>0.5420403587443946</c:v>
                </c:pt>
              </c:numCache>
            </c:numRef>
          </c:val>
          <c:smooth val="0"/>
          <c:extLst>
            <c:ext xmlns:c16="http://schemas.microsoft.com/office/drawing/2014/chart" uri="{C3380CC4-5D6E-409C-BE32-E72D297353CC}">
              <c16:uniqueId val="{00000002-5083-D841-BEED-5695E59653C9}"/>
            </c:ext>
          </c:extLst>
        </c:ser>
        <c:ser>
          <c:idx val="3"/>
          <c:order val="3"/>
          <c:tx>
            <c:strRef>
              <c:f>Лист2!$S$5</c:f>
              <c:strCache>
                <c:ptCount val="1"/>
                <c:pt idx="0">
                  <c:v>Защищенность, Изащ</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Лист2!$O$6:$O$10</c:f>
              <c:strCache>
                <c:ptCount val="5"/>
                <c:pt idx="0">
                  <c:v>&gt;18</c:v>
                </c:pt>
                <c:pt idx="1">
                  <c:v>19-29</c:v>
                </c:pt>
                <c:pt idx="2">
                  <c:v>30-44</c:v>
                </c:pt>
                <c:pt idx="3">
                  <c:v>45-59</c:v>
                </c:pt>
                <c:pt idx="4">
                  <c:v>&lt;60</c:v>
                </c:pt>
              </c:strCache>
            </c:strRef>
          </c:cat>
          <c:val>
            <c:numRef>
              <c:f>Лист2!$S$6:$S$10</c:f>
              <c:numCache>
                <c:formatCode>0.00</c:formatCode>
                <c:ptCount val="5"/>
                <c:pt idx="0">
                  <c:v>0.50798403193612773</c:v>
                </c:pt>
                <c:pt idx="1">
                  <c:v>0.36329039812646369</c:v>
                </c:pt>
                <c:pt idx="2">
                  <c:v>0.30383022774327123</c:v>
                </c:pt>
                <c:pt idx="3">
                  <c:v>0.31228956228956228</c:v>
                </c:pt>
                <c:pt idx="4">
                  <c:v>0.36248131539611361</c:v>
                </c:pt>
              </c:numCache>
            </c:numRef>
          </c:val>
          <c:smooth val="0"/>
          <c:extLst>
            <c:ext xmlns:c16="http://schemas.microsoft.com/office/drawing/2014/chart" uri="{C3380CC4-5D6E-409C-BE32-E72D297353CC}">
              <c16:uniqueId val="{00000003-5083-D841-BEED-5695E59653C9}"/>
            </c:ext>
          </c:extLst>
        </c:ser>
        <c:ser>
          <c:idx val="4"/>
          <c:order val="4"/>
          <c:tx>
            <c:strRef>
              <c:f>Лист2!$T$5</c:f>
              <c:strCache>
                <c:ptCount val="1"/>
                <c:pt idx="0">
                  <c:v>Удовлетворенность материальным положением, Имп</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Лист2!$O$6:$O$10</c:f>
              <c:strCache>
                <c:ptCount val="5"/>
                <c:pt idx="0">
                  <c:v>&gt;18</c:v>
                </c:pt>
                <c:pt idx="1">
                  <c:v>19-29</c:v>
                </c:pt>
                <c:pt idx="2">
                  <c:v>30-44</c:v>
                </c:pt>
                <c:pt idx="3">
                  <c:v>45-59</c:v>
                </c:pt>
                <c:pt idx="4">
                  <c:v>&lt;60</c:v>
                </c:pt>
              </c:strCache>
            </c:strRef>
          </c:cat>
          <c:val>
            <c:numRef>
              <c:f>Лист2!$T$6:$T$10</c:f>
              <c:numCache>
                <c:formatCode>0.00</c:formatCode>
                <c:ptCount val="5"/>
                <c:pt idx="0">
                  <c:v>0.40069860279441116</c:v>
                </c:pt>
                <c:pt idx="1">
                  <c:v>0.36914519906323184</c:v>
                </c:pt>
                <c:pt idx="2">
                  <c:v>0.36904761904761907</c:v>
                </c:pt>
                <c:pt idx="3">
                  <c:v>0.34528619528619531</c:v>
                </c:pt>
                <c:pt idx="4">
                  <c:v>0.38359491778774291</c:v>
                </c:pt>
              </c:numCache>
            </c:numRef>
          </c:val>
          <c:smooth val="0"/>
          <c:extLst>
            <c:ext xmlns:c16="http://schemas.microsoft.com/office/drawing/2014/chart" uri="{C3380CC4-5D6E-409C-BE32-E72D297353CC}">
              <c16:uniqueId val="{00000004-5083-D841-BEED-5695E59653C9}"/>
            </c:ext>
          </c:extLst>
        </c:ser>
        <c:ser>
          <c:idx val="5"/>
          <c:order val="5"/>
          <c:tx>
            <c:strRef>
              <c:f>Лист2!$U$5</c:f>
              <c:strCache>
                <c:ptCount val="1"/>
                <c:pt idx="0">
                  <c:v>Здоровье, Изд</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Лист2!$O$6:$O$10</c:f>
              <c:strCache>
                <c:ptCount val="5"/>
                <c:pt idx="0">
                  <c:v>&gt;18</c:v>
                </c:pt>
                <c:pt idx="1">
                  <c:v>19-29</c:v>
                </c:pt>
                <c:pt idx="2">
                  <c:v>30-44</c:v>
                </c:pt>
                <c:pt idx="3">
                  <c:v>45-59</c:v>
                </c:pt>
                <c:pt idx="4">
                  <c:v>&lt;60</c:v>
                </c:pt>
              </c:strCache>
            </c:strRef>
          </c:cat>
          <c:val>
            <c:numRef>
              <c:f>Лист2!$U$6:$U$10</c:f>
              <c:numCache>
                <c:formatCode>0.00</c:formatCode>
                <c:ptCount val="5"/>
                <c:pt idx="0">
                  <c:v>0.69499999999999995</c:v>
                </c:pt>
                <c:pt idx="1">
                  <c:v>0.69262295081967218</c:v>
                </c:pt>
                <c:pt idx="2">
                  <c:v>0.64337474120082816</c:v>
                </c:pt>
                <c:pt idx="3">
                  <c:v>0.57441077441077437</c:v>
                </c:pt>
                <c:pt idx="4">
                  <c:v>0.46169656203288489</c:v>
                </c:pt>
              </c:numCache>
            </c:numRef>
          </c:val>
          <c:smooth val="0"/>
          <c:extLst>
            <c:ext xmlns:c16="http://schemas.microsoft.com/office/drawing/2014/chart" uri="{C3380CC4-5D6E-409C-BE32-E72D297353CC}">
              <c16:uniqueId val="{00000005-5083-D841-BEED-5695E59653C9}"/>
            </c:ext>
          </c:extLst>
        </c:ser>
        <c:ser>
          <c:idx val="6"/>
          <c:order val="6"/>
          <c:tx>
            <c:strRef>
              <c:f>Лист2!$V$5</c:f>
              <c:strCache>
                <c:ptCount val="1"/>
                <c:pt idx="0">
                  <c:v>Обобщенное доверие, Иод</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Лист2!$O$6:$O$10</c:f>
              <c:strCache>
                <c:ptCount val="5"/>
                <c:pt idx="0">
                  <c:v>&gt;18</c:v>
                </c:pt>
                <c:pt idx="1">
                  <c:v>19-29</c:v>
                </c:pt>
                <c:pt idx="2">
                  <c:v>30-44</c:v>
                </c:pt>
                <c:pt idx="3">
                  <c:v>45-59</c:v>
                </c:pt>
                <c:pt idx="4">
                  <c:v>&lt;60</c:v>
                </c:pt>
              </c:strCache>
            </c:strRef>
          </c:cat>
          <c:val>
            <c:numRef>
              <c:f>Лист2!$V$6:$V$10</c:f>
              <c:numCache>
                <c:formatCode>0.00</c:formatCode>
                <c:ptCount val="5"/>
                <c:pt idx="0">
                  <c:v>0.41916167664670656</c:v>
                </c:pt>
                <c:pt idx="1">
                  <c:v>0.37997658079625291</c:v>
                </c:pt>
                <c:pt idx="2">
                  <c:v>0.33074534161490682</c:v>
                </c:pt>
                <c:pt idx="3">
                  <c:v>0.31616161616161614</c:v>
                </c:pt>
                <c:pt idx="4">
                  <c:v>0.35201793721973096</c:v>
                </c:pt>
              </c:numCache>
            </c:numRef>
          </c:val>
          <c:smooth val="0"/>
          <c:extLst>
            <c:ext xmlns:c16="http://schemas.microsoft.com/office/drawing/2014/chart" uri="{C3380CC4-5D6E-409C-BE32-E72D297353CC}">
              <c16:uniqueId val="{00000006-5083-D841-BEED-5695E59653C9}"/>
            </c:ext>
          </c:extLst>
        </c:ser>
        <c:dLbls>
          <c:showLegendKey val="0"/>
          <c:showVal val="0"/>
          <c:showCatName val="0"/>
          <c:showSerName val="0"/>
          <c:showPercent val="0"/>
          <c:showBubbleSize val="0"/>
        </c:dLbls>
        <c:marker val="1"/>
        <c:smooth val="0"/>
        <c:axId val="214801680"/>
        <c:axId val="214255472"/>
      </c:lineChart>
      <c:catAx>
        <c:axId val="214801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14255472"/>
        <c:crosses val="autoZero"/>
        <c:auto val="1"/>
        <c:lblAlgn val="ctr"/>
        <c:lblOffset val="100"/>
        <c:noMultiLvlLbl val="0"/>
      </c:catAx>
      <c:valAx>
        <c:axId val="214255472"/>
        <c:scaling>
          <c:orientation val="minMax"/>
          <c:max val="0.70000000000000007"/>
          <c:min val="0.30000000000000004"/>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148016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800">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ru-RU"/>
              <a:t>Женщины </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lineChart>
        <c:grouping val="standard"/>
        <c:varyColors val="0"/>
        <c:ser>
          <c:idx val="0"/>
          <c:order val="0"/>
          <c:tx>
            <c:strRef>
              <c:f>Лист2!$P$13</c:f>
              <c:strCache>
                <c:ptCount val="1"/>
                <c:pt idx="0">
                  <c:v>Материальное благополучие, Имб</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Лист2!$O$14:$O$18</c:f>
              <c:strCache>
                <c:ptCount val="5"/>
                <c:pt idx="0">
                  <c:v>&gt;18</c:v>
                </c:pt>
                <c:pt idx="1">
                  <c:v>19-29</c:v>
                </c:pt>
                <c:pt idx="2">
                  <c:v>30-44</c:v>
                </c:pt>
                <c:pt idx="3">
                  <c:v>45-59</c:v>
                </c:pt>
                <c:pt idx="4">
                  <c:v>&lt;60</c:v>
                </c:pt>
              </c:strCache>
            </c:strRef>
          </c:cat>
          <c:val>
            <c:numRef>
              <c:f>Лист2!$P$14:$P$18</c:f>
              <c:numCache>
                <c:formatCode>0.00</c:formatCode>
                <c:ptCount val="5"/>
                <c:pt idx="0">
                  <c:v>0.435</c:v>
                </c:pt>
                <c:pt idx="1">
                  <c:v>0.47925420168067229</c:v>
                </c:pt>
                <c:pt idx="2">
                  <c:v>0.4696762425900593</c:v>
                </c:pt>
                <c:pt idx="3">
                  <c:v>0.44188144329896906</c:v>
                </c:pt>
                <c:pt idx="4">
                  <c:v>0.44516632016632018</c:v>
                </c:pt>
              </c:numCache>
            </c:numRef>
          </c:val>
          <c:smooth val="0"/>
          <c:extLst>
            <c:ext xmlns:c16="http://schemas.microsoft.com/office/drawing/2014/chart" uri="{C3380CC4-5D6E-409C-BE32-E72D297353CC}">
              <c16:uniqueId val="{00000000-EEA8-5743-A28A-02D3EC3A5391}"/>
            </c:ext>
          </c:extLst>
        </c:ser>
        <c:ser>
          <c:idx val="1"/>
          <c:order val="1"/>
          <c:tx>
            <c:strRef>
              <c:f>Лист2!$Q$13</c:f>
              <c:strCache>
                <c:ptCount val="1"/>
                <c:pt idx="0">
                  <c:v>Социальный оптимизм (тактический оптимизм), Исо</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Лист2!$O$14:$O$18</c:f>
              <c:strCache>
                <c:ptCount val="5"/>
                <c:pt idx="0">
                  <c:v>&gt;18</c:v>
                </c:pt>
                <c:pt idx="1">
                  <c:v>19-29</c:v>
                </c:pt>
                <c:pt idx="2">
                  <c:v>30-44</c:v>
                </c:pt>
                <c:pt idx="3">
                  <c:v>45-59</c:v>
                </c:pt>
                <c:pt idx="4">
                  <c:v>&lt;60</c:v>
                </c:pt>
              </c:strCache>
            </c:strRef>
          </c:cat>
          <c:val>
            <c:numRef>
              <c:f>Лист2!$Q$14:$Q$18</c:f>
              <c:numCache>
                <c:formatCode>0.00</c:formatCode>
                <c:ptCount val="5"/>
                <c:pt idx="0">
                  <c:v>0.42349999999999999</c:v>
                </c:pt>
                <c:pt idx="1">
                  <c:v>0.44669117647058826</c:v>
                </c:pt>
                <c:pt idx="2">
                  <c:v>0.41723666210670313</c:v>
                </c:pt>
                <c:pt idx="3">
                  <c:v>0.37396907216494846</c:v>
                </c:pt>
                <c:pt idx="4">
                  <c:v>0.38028413028413027</c:v>
                </c:pt>
              </c:numCache>
            </c:numRef>
          </c:val>
          <c:smooth val="0"/>
          <c:extLst>
            <c:ext xmlns:c16="http://schemas.microsoft.com/office/drawing/2014/chart" uri="{C3380CC4-5D6E-409C-BE32-E72D297353CC}">
              <c16:uniqueId val="{00000001-EEA8-5743-A28A-02D3EC3A5391}"/>
            </c:ext>
          </c:extLst>
        </c:ser>
        <c:ser>
          <c:idx val="2"/>
          <c:order val="2"/>
          <c:tx>
            <c:strRef>
              <c:f>Лист2!$R$13</c:f>
              <c:strCache>
                <c:ptCount val="1"/>
                <c:pt idx="0">
                  <c:v>Удовлетворенность жизнью, Иуж</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Лист2!$O$14:$O$18</c:f>
              <c:strCache>
                <c:ptCount val="5"/>
                <c:pt idx="0">
                  <c:v>&gt;18</c:v>
                </c:pt>
                <c:pt idx="1">
                  <c:v>19-29</c:v>
                </c:pt>
                <c:pt idx="2">
                  <c:v>30-44</c:v>
                </c:pt>
                <c:pt idx="3">
                  <c:v>45-59</c:v>
                </c:pt>
                <c:pt idx="4">
                  <c:v>&lt;60</c:v>
                </c:pt>
              </c:strCache>
            </c:strRef>
          </c:cat>
          <c:val>
            <c:numRef>
              <c:f>Лист2!$R$14:$R$18</c:f>
              <c:numCache>
                <c:formatCode>0.00</c:formatCode>
                <c:ptCount val="5"/>
                <c:pt idx="0">
                  <c:v>0.67749999999999999</c:v>
                </c:pt>
                <c:pt idx="1">
                  <c:v>0.62893907563025209</c:v>
                </c:pt>
                <c:pt idx="2">
                  <c:v>0.61069311445508434</c:v>
                </c:pt>
                <c:pt idx="3">
                  <c:v>0.55567010309278353</c:v>
                </c:pt>
                <c:pt idx="4">
                  <c:v>0.51394663894663895</c:v>
                </c:pt>
              </c:numCache>
            </c:numRef>
          </c:val>
          <c:smooth val="0"/>
          <c:extLst>
            <c:ext xmlns:c16="http://schemas.microsoft.com/office/drawing/2014/chart" uri="{C3380CC4-5D6E-409C-BE32-E72D297353CC}">
              <c16:uniqueId val="{00000002-EEA8-5743-A28A-02D3EC3A5391}"/>
            </c:ext>
          </c:extLst>
        </c:ser>
        <c:ser>
          <c:idx val="3"/>
          <c:order val="3"/>
          <c:tx>
            <c:strRef>
              <c:f>Лист2!$S$13</c:f>
              <c:strCache>
                <c:ptCount val="1"/>
                <c:pt idx="0">
                  <c:v>Защищенность, Изащ</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Лист2!$O$14:$O$18</c:f>
              <c:strCache>
                <c:ptCount val="5"/>
                <c:pt idx="0">
                  <c:v>&gt;18</c:v>
                </c:pt>
                <c:pt idx="1">
                  <c:v>19-29</c:v>
                </c:pt>
                <c:pt idx="2">
                  <c:v>30-44</c:v>
                </c:pt>
                <c:pt idx="3">
                  <c:v>45-59</c:v>
                </c:pt>
                <c:pt idx="4">
                  <c:v>&lt;60</c:v>
                </c:pt>
              </c:strCache>
            </c:strRef>
          </c:cat>
          <c:val>
            <c:numRef>
              <c:f>Лист2!$S$14:$S$18</c:f>
              <c:numCache>
                <c:formatCode>0.00</c:formatCode>
                <c:ptCount val="5"/>
                <c:pt idx="0">
                  <c:v>0.48199999999999998</c:v>
                </c:pt>
                <c:pt idx="1">
                  <c:v>0.36213235294117646</c:v>
                </c:pt>
                <c:pt idx="2">
                  <c:v>0.29616963064295487</c:v>
                </c:pt>
                <c:pt idx="3">
                  <c:v>0.2907216494845361</c:v>
                </c:pt>
                <c:pt idx="4">
                  <c:v>0.36248131539611361</c:v>
                </c:pt>
              </c:numCache>
            </c:numRef>
          </c:val>
          <c:smooth val="0"/>
          <c:extLst>
            <c:ext xmlns:c16="http://schemas.microsoft.com/office/drawing/2014/chart" uri="{C3380CC4-5D6E-409C-BE32-E72D297353CC}">
              <c16:uniqueId val="{00000003-EEA8-5743-A28A-02D3EC3A5391}"/>
            </c:ext>
          </c:extLst>
        </c:ser>
        <c:ser>
          <c:idx val="4"/>
          <c:order val="4"/>
          <c:tx>
            <c:strRef>
              <c:f>Лист2!$T$13</c:f>
              <c:strCache>
                <c:ptCount val="1"/>
                <c:pt idx="0">
                  <c:v>Удовлетворенность материальным положением, Имп</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Лист2!$O$14:$O$18</c:f>
              <c:strCache>
                <c:ptCount val="5"/>
                <c:pt idx="0">
                  <c:v>&gt;18</c:v>
                </c:pt>
                <c:pt idx="1">
                  <c:v>19-29</c:v>
                </c:pt>
                <c:pt idx="2">
                  <c:v>30-44</c:v>
                </c:pt>
                <c:pt idx="3">
                  <c:v>45-59</c:v>
                </c:pt>
                <c:pt idx="4">
                  <c:v>&lt;60</c:v>
                </c:pt>
              </c:strCache>
            </c:strRef>
          </c:cat>
          <c:val>
            <c:numRef>
              <c:f>Лист2!$T$14:$T$18</c:f>
              <c:numCache>
                <c:formatCode>0.00</c:formatCode>
                <c:ptCount val="5"/>
                <c:pt idx="0">
                  <c:v>0.379</c:v>
                </c:pt>
                <c:pt idx="1">
                  <c:v>0.36607142857142855</c:v>
                </c:pt>
                <c:pt idx="2">
                  <c:v>0.3595531235750114</c:v>
                </c:pt>
                <c:pt idx="3">
                  <c:v>0.32731958762886598</c:v>
                </c:pt>
                <c:pt idx="4">
                  <c:v>0.37551975051975051</c:v>
                </c:pt>
              </c:numCache>
            </c:numRef>
          </c:val>
          <c:smooth val="0"/>
          <c:extLst>
            <c:ext xmlns:c16="http://schemas.microsoft.com/office/drawing/2014/chart" uri="{C3380CC4-5D6E-409C-BE32-E72D297353CC}">
              <c16:uniqueId val="{00000004-EEA8-5743-A28A-02D3EC3A5391}"/>
            </c:ext>
          </c:extLst>
        </c:ser>
        <c:ser>
          <c:idx val="5"/>
          <c:order val="5"/>
          <c:tx>
            <c:strRef>
              <c:f>Лист2!$U$13</c:f>
              <c:strCache>
                <c:ptCount val="1"/>
                <c:pt idx="0">
                  <c:v>Здоровье, Изд</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Лист2!$O$14:$O$18</c:f>
              <c:strCache>
                <c:ptCount val="5"/>
                <c:pt idx="0">
                  <c:v>&gt;18</c:v>
                </c:pt>
                <c:pt idx="1">
                  <c:v>19-29</c:v>
                </c:pt>
                <c:pt idx="2">
                  <c:v>30-44</c:v>
                </c:pt>
                <c:pt idx="3">
                  <c:v>45-59</c:v>
                </c:pt>
                <c:pt idx="4">
                  <c:v>&lt;60</c:v>
                </c:pt>
              </c:strCache>
            </c:strRef>
          </c:cat>
          <c:val>
            <c:numRef>
              <c:f>Лист2!$U$14:$U$18</c:f>
              <c:numCache>
                <c:formatCode>0.00</c:formatCode>
                <c:ptCount val="5"/>
                <c:pt idx="0">
                  <c:v>0.6835</c:v>
                </c:pt>
                <c:pt idx="1">
                  <c:v>0.68014705882352944</c:v>
                </c:pt>
                <c:pt idx="2">
                  <c:v>0.62870497036023709</c:v>
                </c:pt>
                <c:pt idx="3">
                  <c:v>0.55244845360824746</c:v>
                </c:pt>
                <c:pt idx="4">
                  <c:v>0.43503118503118504</c:v>
                </c:pt>
              </c:numCache>
            </c:numRef>
          </c:val>
          <c:smooth val="0"/>
          <c:extLst>
            <c:ext xmlns:c16="http://schemas.microsoft.com/office/drawing/2014/chart" uri="{C3380CC4-5D6E-409C-BE32-E72D297353CC}">
              <c16:uniqueId val="{00000005-EEA8-5743-A28A-02D3EC3A5391}"/>
            </c:ext>
          </c:extLst>
        </c:ser>
        <c:ser>
          <c:idx val="6"/>
          <c:order val="6"/>
          <c:tx>
            <c:strRef>
              <c:f>Лист2!$V$13</c:f>
              <c:strCache>
                <c:ptCount val="1"/>
                <c:pt idx="0">
                  <c:v>Обобщенное доверие, Иод</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Лист2!$O$14:$O$18</c:f>
              <c:strCache>
                <c:ptCount val="5"/>
                <c:pt idx="0">
                  <c:v>&gt;18</c:v>
                </c:pt>
                <c:pt idx="1">
                  <c:v>19-29</c:v>
                </c:pt>
                <c:pt idx="2">
                  <c:v>30-44</c:v>
                </c:pt>
                <c:pt idx="3">
                  <c:v>45-59</c:v>
                </c:pt>
                <c:pt idx="4">
                  <c:v>&lt;60</c:v>
                </c:pt>
              </c:strCache>
            </c:strRef>
          </c:cat>
          <c:val>
            <c:numRef>
              <c:f>Лист2!$V$14:$V$18</c:f>
              <c:numCache>
                <c:formatCode>0.00</c:formatCode>
                <c:ptCount val="5"/>
                <c:pt idx="0">
                  <c:v>0.39200000000000002</c:v>
                </c:pt>
                <c:pt idx="1">
                  <c:v>0.37447478991596639</c:v>
                </c:pt>
                <c:pt idx="2">
                  <c:v>0.359781121751026</c:v>
                </c:pt>
                <c:pt idx="3">
                  <c:v>0.34922680412371132</c:v>
                </c:pt>
                <c:pt idx="4">
                  <c:v>0.345980595980596</c:v>
                </c:pt>
              </c:numCache>
            </c:numRef>
          </c:val>
          <c:smooth val="0"/>
          <c:extLst>
            <c:ext xmlns:c16="http://schemas.microsoft.com/office/drawing/2014/chart" uri="{C3380CC4-5D6E-409C-BE32-E72D297353CC}">
              <c16:uniqueId val="{00000006-EEA8-5743-A28A-02D3EC3A5391}"/>
            </c:ext>
          </c:extLst>
        </c:ser>
        <c:dLbls>
          <c:showLegendKey val="0"/>
          <c:showVal val="0"/>
          <c:showCatName val="0"/>
          <c:showSerName val="0"/>
          <c:showPercent val="0"/>
          <c:showBubbleSize val="0"/>
        </c:dLbls>
        <c:marker val="1"/>
        <c:smooth val="0"/>
        <c:axId val="1801419903"/>
        <c:axId val="1801421631"/>
      </c:lineChart>
      <c:catAx>
        <c:axId val="18014199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801421631"/>
        <c:crosses val="autoZero"/>
        <c:auto val="1"/>
        <c:lblAlgn val="ctr"/>
        <c:lblOffset val="100"/>
        <c:noMultiLvlLbl val="0"/>
      </c:catAx>
      <c:valAx>
        <c:axId val="1801421631"/>
        <c:scaling>
          <c:orientation val="minMax"/>
          <c:max val="0.70000000000000007"/>
          <c:min val="0.25"/>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80141990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800">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Лист9!$C$11</c:f>
              <c:strCache>
                <c:ptCount val="1"/>
                <c:pt idx="0">
                  <c:v>Большинству людей можно доверять</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Лист9!$B$12:$B$16</c:f>
              <c:strCache>
                <c:ptCount val="5"/>
                <c:pt idx="0">
                  <c:v>Очень хорошее</c:v>
                </c:pt>
                <c:pt idx="1">
                  <c:v>Хорошее</c:v>
                </c:pt>
                <c:pt idx="2">
                  <c:v>Среднее, не хорошее, но и не плохое</c:v>
                </c:pt>
                <c:pt idx="3">
                  <c:v>Плохое</c:v>
                </c:pt>
                <c:pt idx="4">
                  <c:v>Совсем плохое</c:v>
                </c:pt>
              </c:strCache>
            </c:strRef>
          </c:cat>
          <c:val>
            <c:numRef>
              <c:f>Лист9!$C$12:$C$16</c:f>
              <c:numCache>
                <c:formatCode>General</c:formatCode>
                <c:ptCount val="5"/>
                <c:pt idx="0">
                  <c:v>22.9</c:v>
                </c:pt>
                <c:pt idx="1">
                  <c:v>17.100000000000001</c:v>
                </c:pt>
                <c:pt idx="2">
                  <c:v>12.9</c:v>
                </c:pt>
                <c:pt idx="3">
                  <c:v>15.9</c:v>
                </c:pt>
                <c:pt idx="4">
                  <c:v>7.7</c:v>
                </c:pt>
              </c:numCache>
            </c:numRef>
          </c:val>
          <c:extLst>
            <c:ext xmlns:c16="http://schemas.microsoft.com/office/drawing/2014/chart" uri="{C3380CC4-5D6E-409C-BE32-E72D297353CC}">
              <c16:uniqueId val="{00000000-AE76-114F-B2CA-7CBCF05CA7DD}"/>
            </c:ext>
          </c:extLst>
        </c:ser>
        <c:ser>
          <c:idx val="1"/>
          <c:order val="1"/>
          <c:tx>
            <c:strRef>
              <c:f>Лист9!$D$11</c:f>
              <c:strCache>
                <c:ptCount val="1"/>
                <c:pt idx="0">
                  <c:v>В отношениях с другими людьми всегда надо быть осторожным</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Лист9!$B$12:$B$16</c:f>
              <c:strCache>
                <c:ptCount val="5"/>
                <c:pt idx="0">
                  <c:v>Очень хорошее</c:v>
                </c:pt>
                <c:pt idx="1">
                  <c:v>Хорошее</c:v>
                </c:pt>
                <c:pt idx="2">
                  <c:v>Среднее, не хорошее, но и не плохое</c:v>
                </c:pt>
                <c:pt idx="3">
                  <c:v>Плохое</c:v>
                </c:pt>
                <c:pt idx="4">
                  <c:v>Совсем плохое</c:v>
                </c:pt>
              </c:strCache>
            </c:strRef>
          </c:cat>
          <c:val>
            <c:numRef>
              <c:f>Лист9!$D$12:$D$16</c:f>
              <c:numCache>
                <c:formatCode>General</c:formatCode>
                <c:ptCount val="5"/>
                <c:pt idx="0">
                  <c:v>40.1</c:v>
                </c:pt>
                <c:pt idx="1">
                  <c:v>36.9</c:v>
                </c:pt>
                <c:pt idx="2">
                  <c:v>42.5</c:v>
                </c:pt>
                <c:pt idx="3">
                  <c:v>43.4</c:v>
                </c:pt>
                <c:pt idx="4">
                  <c:v>55.4</c:v>
                </c:pt>
              </c:numCache>
            </c:numRef>
          </c:val>
          <c:extLst>
            <c:ext xmlns:c16="http://schemas.microsoft.com/office/drawing/2014/chart" uri="{C3380CC4-5D6E-409C-BE32-E72D297353CC}">
              <c16:uniqueId val="{00000001-AE76-114F-B2CA-7CBCF05CA7DD}"/>
            </c:ext>
          </c:extLst>
        </c:ser>
        <c:ser>
          <c:idx val="2"/>
          <c:order val="2"/>
          <c:tx>
            <c:strRef>
              <c:f>Лист9!$E$11</c:f>
              <c:strCache>
                <c:ptCount val="1"/>
                <c:pt idx="0">
                  <c:v>И то, и другое в зависимости от человека, условий</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Лист9!$B$12:$B$16</c:f>
              <c:strCache>
                <c:ptCount val="5"/>
                <c:pt idx="0">
                  <c:v>Очень хорошее</c:v>
                </c:pt>
                <c:pt idx="1">
                  <c:v>Хорошее</c:v>
                </c:pt>
                <c:pt idx="2">
                  <c:v>Среднее, не хорошее, но и не плохое</c:v>
                </c:pt>
                <c:pt idx="3">
                  <c:v>Плохое</c:v>
                </c:pt>
                <c:pt idx="4">
                  <c:v>Совсем плохое</c:v>
                </c:pt>
              </c:strCache>
            </c:strRef>
          </c:cat>
          <c:val>
            <c:numRef>
              <c:f>Лист9!$E$12:$E$16</c:f>
              <c:numCache>
                <c:formatCode>General</c:formatCode>
                <c:ptCount val="5"/>
                <c:pt idx="0">
                  <c:v>33.200000000000003</c:v>
                </c:pt>
                <c:pt idx="1">
                  <c:v>41.9</c:v>
                </c:pt>
                <c:pt idx="2">
                  <c:v>41</c:v>
                </c:pt>
                <c:pt idx="3">
                  <c:v>36.4</c:v>
                </c:pt>
                <c:pt idx="4">
                  <c:v>31.5</c:v>
                </c:pt>
              </c:numCache>
            </c:numRef>
          </c:val>
          <c:extLst>
            <c:ext xmlns:c16="http://schemas.microsoft.com/office/drawing/2014/chart" uri="{C3380CC4-5D6E-409C-BE32-E72D297353CC}">
              <c16:uniqueId val="{00000002-AE76-114F-B2CA-7CBCF05CA7DD}"/>
            </c:ext>
          </c:extLst>
        </c:ser>
        <c:dLbls>
          <c:showLegendKey val="0"/>
          <c:showVal val="0"/>
          <c:showCatName val="0"/>
          <c:showSerName val="0"/>
          <c:showPercent val="0"/>
          <c:showBubbleSize val="0"/>
        </c:dLbls>
        <c:gapWidth val="219"/>
        <c:overlap val="-27"/>
        <c:axId val="-662838448"/>
        <c:axId val="-662838992"/>
      </c:barChart>
      <c:catAx>
        <c:axId val="-662838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662838992"/>
        <c:crosses val="autoZero"/>
        <c:auto val="1"/>
        <c:lblAlgn val="ctr"/>
        <c:lblOffset val="100"/>
        <c:noMultiLvlLbl val="0"/>
      </c:catAx>
      <c:valAx>
        <c:axId val="-662838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662838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TotalTime>
  <Pages>5</Pages>
  <Words>1622</Words>
  <Characters>9248</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Агафонова Дарья Юрьевна</dc:creator>
  <cp:keywords/>
  <dc:description/>
  <cp:lastModifiedBy>Агафонова Дарья Юрьевна</cp:lastModifiedBy>
  <cp:revision>2</cp:revision>
  <dcterms:created xsi:type="dcterms:W3CDTF">2024-03-20T17:33:00Z</dcterms:created>
  <dcterms:modified xsi:type="dcterms:W3CDTF">2024-03-20T17:33:00Z</dcterms:modified>
</cp:coreProperties>
</file>