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C8814E" w14:textId="2D155186" w:rsidR="00171FFB" w:rsidRPr="00171FFB" w:rsidRDefault="00171FFB" w:rsidP="00171FF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27230487"/>
      <w:bookmarkStart w:id="1" w:name="_GoBack"/>
      <w:bookmarkEnd w:id="1"/>
      <w:r w:rsidRPr="00171FFB">
        <w:rPr>
          <w:rFonts w:ascii="Times New Roman" w:hAnsi="Times New Roman" w:cs="Times New Roman"/>
          <w:b/>
          <w:sz w:val="24"/>
          <w:szCs w:val="24"/>
        </w:rPr>
        <w:t>Российские региональные облигации: анализ перспектив для эмитентов и частных инвесторов</w:t>
      </w:r>
    </w:p>
    <w:p w14:paraId="2DDDA246" w14:textId="62BFD30B" w:rsidR="003B0A27" w:rsidRDefault="003D60CB" w:rsidP="003D60C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0573">
        <w:rPr>
          <w:rFonts w:ascii="Times New Roman" w:hAnsi="Times New Roman" w:cs="Times New Roman"/>
          <w:sz w:val="24"/>
          <w:szCs w:val="24"/>
        </w:rPr>
        <w:t xml:space="preserve">Облигации, как альтернатива банковскому кредиту, считаются надежным инструментом для инвестирования капитала и важным механизмом привлечения денежных средств для </w:t>
      </w:r>
      <w:r>
        <w:rPr>
          <w:rFonts w:ascii="Times New Roman" w:hAnsi="Times New Roman" w:cs="Times New Roman"/>
          <w:sz w:val="24"/>
          <w:szCs w:val="24"/>
        </w:rPr>
        <w:t>эмитентов</w:t>
      </w:r>
      <w:r w:rsidRPr="009705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Понимание особенностей р</w:t>
      </w:r>
      <w:r w:rsidRPr="00325C17">
        <w:rPr>
          <w:rFonts w:ascii="Times New Roman" w:hAnsi="Times New Roman" w:cs="Times New Roman"/>
          <w:sz w:val="24"/>
          <w:szCs w:val="24"/>
        </w:rPr>
        <w:t>оссийско</w:t>
      </w:r>
      <w:r>
        <w:rPr>
          <w:rFonts w:ascii="Times New Roman" w:hAnsi="Times New Roman" w:cs="Times New Roman"/>
          <w:sz w:val="24"/>
          <w:szCs w:val="24"/>
        </w:rPr>
        <w:t>го облигационного</w:t>
      </w:r>
      <w:r w:rsidRPr="00325C17">
        <w:rPr>
          <w:rFonts w:ascii="Times New Roman" w:hAnsi="Times New Roman" w:cs="Times New Roman"/>
          <w:sz w:val="24"/>
          <w:szCs w:val="24"/>
        </w:rPr>
        <w:t xml:space="preserve"> рынк</w:t>
      </w:r>
      <w:r>
        <w:rPr>
          <w:rFonts w:ascii="Times New Roman" w:hAnsi="Times New Roman" w:cs="Times New Roman"/>
          <w:sz w:val="24"/>
          <w:szCs w:val="24"/>
        </w:rPr>
        <w:t>а может позволить</w:t>
      </w:r>
      <w:r w:rsidRPr="00325C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инвесторам </w:t>
      </w:r>
      <w:r w:rsidRPr="00325C17">
        <w:rPr>
          <w:rFonts w:ascii="Times New Roman" w:hAnsi="Times New Roman" w:cs="Times New Roman"/>
          <w:sz w:val="24"/>
          <w:szCs w:val="24"/>
        </w:rPr>
        <w:t xml:space="preserve">правильно </w:t>
      </w:r>
      <w:r>
        <w:rPr>
          <w:rFonts w:ascii="Times New Roman" w:hAnsi="Times New Roman" w:cs="Times New Roman"/>
          <w:sz w:val="24"/>
          <w:szCs w:val="24"/>
        </w:rPr>
        <w:t xml:space="preserve">управлять своими </w:t>
      </w:r>
      <w:r w:rsidRPr="00325C17">
        <w:rPr>
          <w:rFonts w:ascii="Times New Roman" w:hAnsi="Times New Roman" w:cs="Times New Roman"/>
          <w:sz w:val="24"/>
          <w:szCs w:val="24"/>
        </w:rPr>
        <w:t>риск</w:t>
      </w:r>
      <w:r>
        <w:rPr>
          <w:rFonts w:ascii="Times New Roman" w:hAnsi="Times New Roman" w:cs="Times New Roman"/>
          <w:sz w:val="24"/>
          <w:szCs w:val="24"/>
        </w:rPr>
        <w:t>ами</w:t>
      </w:r>
      <w:r w:rsidRPr="00325C17">
        <w:rPr>
          <w:rFonts w:ascii="Times New Roman" w:hAnsi="Times New Roman" w:cs="Times New Roman"/>
          <w:sz w:val="24"/>
          <w:szCs w:val="24"/>
        </w:rPr>
        <w:t xml:space="preserve">. </w:t>
      </w:r>
      <w:r w:rsidR="003B0A27">
        <w:rPr>
          <w:rFonts w:ascii="Times New Roman" w:hAnsi="Times New Roman" w:cs="Times New Roman"/>
          <w:sz w:val="24"/>
          <w:szCs w:val="24"/>
        </w:rPr>
        <w:t>Наряду с иными видами облигаций, региональные занимают 3% (3 место) в общем объеме облигаций, а по количеству бумаг – 4% (2 место)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C06E3">
        <w:rPr>
          <w:rFonts w:ascii="Times New Roman" w:hAnsi="Times New Roman" w:cs="Times New Roman"/>
          <w:sz w:val="24"/>
          <w:szCs w:val="24"/>
        </w:rPr>
        <w:t>Ввиду их незначительных масштабов</w:t>
      </w:r>
      <w:r w:rsidR="00CC78C3">
        <w:rPr>
          <w:rFonts w:ascii="Times New Roman" w:hAnsi="Times New Roman" w:cs="Times New Roman"/>
          <w:sz w:val="24"/>
          <w:szCs w:val="24"/>
        </w:rPr>
        <w:t xml:space="preserve"> региональные облигации </w:t>
      </w:r>
      <w:r w:rsidR="00BA5C9B">
        <w:rPr>
          <w:rFonts w:ascii="Times New Roman" w:hAnsi="Times New Roman" w:cs="Times New Roman"/>
          <w:sz w:val="24"/>
          <w:szCs w:val="24"/>
        </w:rPr>
        <w:t>являются мало</w:t>
      </w:r>
      <w:r w:rsidR="00CC78C3">
        <w:rPr>
          <w:rFonts w:ascii="Times New Roman" w:hAnsi="Times New Roman" w:cs="Times New Roman"/>
          <w:sz w:val="24"/>
          <w:szCs w:val="24"/>
        </w:rPr>
        <w:t>ликвидными</w:t>
      </w:r>
      <w:r w:rsidR="000C06E3">
        <w:rPr>
          <w:rFonts w:ascii="Times New Roman" w:hAnsi="Times New Roman" w:cs="Times New Roman"/>
          <w:sz w:val="24"/>
          <w:szCs w:val="24"/>
        </w:rPr>
        <w:t xml:space="preserve">, </w:t>
      </w:r>
      <w:r w:rsidR="00BA5C9B">
        <w:rPr>
          <w:rFonts w:ascii="Times New Roman" w:hAnsi="Times New Roman" w:cs="Times New Roman"/>
          <w:sz w:val="24"/>
          <w:szCs w:val="24"/>
        </w:rPr>
        <w:t xml:space="preserve">при этом их роль в </w:t>
      </w:r>
      <w:r w:rsidR="000C06E3">
        <w:rPr>
          <w:rFonts w:ascii="Times New Roman" w:hAnsi="Times New Roman" w:cs="Times New Roman"/>
          <w:sz w:val="24"/>
          <w:szCs w:val="24"/>
        </w:rPr>
        <w:t>обеспеч</w:t>
      </w:r>
      <w:r w:rsidR="00BA5C9B">
        <w:rPr>
          <w:rFonts w:ascii="Times New Roman" w:hAnsi="Times New Roman" w:cs="Times New Roman"/>
          <w:sz w:val="24"/>
          <w:szCs w:val="24"/>
        </w:rPr>
        <w:t>ении</w:t>
      </w:r>
      <w:r w:rsidR="000C06E3">
        <w:rPr>
          <w:rFonts w:ascii="Times New Roman" w:hAnsi="Times New Roman" w:cs="Times New Roman"/>
          <w:sz w:val="24"/>
          <w:szCs w:val="24"/>
        </w:rPr>
        <w:t xml:space="preserve"> устойчиво</w:t>
      </w:r>
      <w:r w:rsidR="00BA5C9B">
        <w:rPr>
          <w:rFonts w:ascii="Times New Roman" w:hAnsi="Times New Roman" w:cs="Times New Roman"/>
          <w:sz w:val="24"/>
          <w:szCs w:val="24"/>
        </w:rPr>
        <w:t>го</w:t>
      </w:r>
      <w:r w:rsidR="000C06E3">
        <w:rPr>
          <w:rFonts w:ascii="Times New Roman" w:hAnsi="Times New Roman" w:cs="Times New Roman"/>
          <w:sz w:val="24"/>
          <w:szCs w:val="24"/>
        </w:rPr>
        <w:t xml:space="preserve"> развити</w:t>
      </w:r>
      <w:r w:rsidR="00BA5C9B">
        <w:rPr>
          <w:rFonts w:ascii="Times New Roman" w:hAnsi="Times New Roman" w:cs="Times New Roman"/>
          <w:sz w:val="24"/>
          <w:szCs w:val="24"/>
        </w:rPr>
        <w:t>я</w:t>
      </w:r>
      <w:r w:rsidR="000C06E3">
        <w:rPr>
          <w:rFonts w:ascii="Times New Roman" w:hAnsi="Times New Roman" w:cs="Times New Roman"/>
          <w:sz w:val="24"/>
          <w:szCs w:val="24"/>
        </w:rPr>
        <w:t xml:space="preserve"> регионов</w:t>
      </w:r>
      <w:r w:rsidR="00BA5C9B">
        <w:rPr>
          <w:rFonts w:ascii="Times New Roman" w:hAnsi="Times New Roman" w:cs="Times New Roman"/>
          <w:sz w:val="24"/>
          <w:szCs w:val="24"/>
        </w:rPr>
        <w:t xml:space="preserve"> может быть значима</w:t>
      </w:r>
      <w:r w:rsidR="000C06E3">
        <w:rPr>
          <w:rFonts w:ascii="Times New Roman" w:hAnsi="Times New Roman" w:cs="Times New Roman"/>
          <w:sz w:val="24"/>
          <w:szCs w:val="24"/>
        </w:rPr>
        <w:t>.</w:t>
      </w:r>
    </w:p>
    <w:p w14:paraId="21611EA7" w14:textId="52B1DFF3" w:rsidR="003B0A27" w:rsidRPr="000C6BD7" w:rsidRDefault="000C06E3" w:rsidP="003D60C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Ликвидность бумаги, помимо объемов в обращении, можно определить по</w:t>
      </w:r>
      <w:r w:rsidR="003B0A27">
        <w:rPr>
          <w:rFonts w:ascii="Times New Roman" w:hAnsi="Times New Roman" w:cs="Times New Roman"/>
          <w:sz w:val="24"/>
          <w:szCs w:val="24"/>
        </w:rPr>
        <w:t xml:space="preserve"> значени</w:t>
      </w:r>
      <w:r>
        <w:rPr>
          <w:rFonts w:ascii="Times New Roman" w:hAnsi="Times New Roman" w:cs="Times New Roman"/>
          <w:sz w:val="24"/>
          <w:szCs w:val="24"/>
        </w:rPr>
        <w:t>ю</w:t>
      </w:r>
      <w:r w:rsidR="003B0A27">
        <w:rPr>
          <w:rFonts w:ascii="Times New Roman" w:hAnsi="Times New Roman" w:cs="Times New Roman"/>
          <w:sz w:val="24"/>
          <w:szCs w:val="24"/>
        </w:rPr>
        <w:t xml:space="preserve"> ставки и дюрации. Так, </w:t>
      </w:r>
      <w:r w:rsidR="00A97C52">
        <w:rPr>
          <w:rFonts w:ascii="Times New Roman" w:hAnsi="Times New Roman" w:cs="Times New Roman"/>
          <w:sz w:val="24"/>
          <w:szCs w:val="24"/>
        </w:rPr>
        <w:t xml:space="preserve">максимальное и среднее </w:t>
      </w:r>
      <w:r w:rsidR="003B0A27">
        <w:rPr>
          <w:rFonts w:ascii="Times New Roman" w:hAnsi="Times New Roman" w:cs="Times New Roman"/>
          <w:sz w:val="24"/>
          <w:szCs w:val="24"/>
        </w:rPr>
        <w:t xml:space="preserve">средневзвешенное время до возврата инвестиций региональных облигаций </w:t>
      </w:r>
      <w:r w:rsidR="00A97C52">
        <w:rPr>
          <w:rFonts w:ascii="Times New Roman" w:hAnsi="Times New Roman" w:cs="Times New Roman"/>
          <w:sz w:val="24"/>
          <w:szCs w:val="24"/>
        </w:rPr>
        <w:t>опережает государственные (в 2 раза) и корпоративные облигации (в 3 раза)</w:t>
      </w:r>
      <w:r w:rsidR="00CC78C3">
        <w:rPr>
          <w:rFonts w:ascii="Times New Roman" w:hAnsi="Times New Roman" w:cs="Times New Roman"/>
          <w:sz w:val="24"/>
          <w:szCs w:val="24"/>
        </w:rPr>
        <w:t xml:space="preserve">. </w:t>
      </w:r>
      <w:r w:rsidRPr="000C06E3">
        <w:rPr>
          <w:rFonts w:ascii="Times New Roman" w:hAnsi="Times New Roman" w:cs="Times New Roman"/>
          <w:sz w:val="24"/>
          <w:szCs w:val="24"/>
        </w:rPr>
        <w:t>Региональные облигации могут быть привлекательными для инвесторов и как инструмент диверсификации портфеля, и за счет повышенной доходности на фоне низких рисков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BA5C9B">
        <w:rPr>
          <w:rFonts w:ascii="Times New Roman" w:hAnsi="Times New Roman" w:cs="Times New Roman"/>
          <w:sz w:val="24"/>
          <w:szCs w:val="24"/>
        </w:rPr>
        <w:t>Данная характеристика</w:t>
      </w:r>
      <w:r w:rsidR="00CC78C3">
        <w:rPr>
          <w:rFonts w:ascii="Times New Roman" w:hAnsi="Times New Roman" w:cs="Times New Roman"/>
          <w:sz w:val="24"/>
          <w:szCs w:val="24"/>
        </w:rPr>
        <w:t xml:space="preserve"> региональных облигаций </w:t>
      </w:r>
      <w:r w:rsidR="00731A3D">
        <w:rPr>
          <w:rFonts w:ascii="Times New Roman" w:hAnsi="Times New Roman" w:cs="Times New Roman"/>
          <w:sz w:val="24"/>
          <w:szCs w:val="24"/>
        </w:rPr>
        <w:t>подтверждает</w:t>
      </w:r>
      <w:r w:rsidR="00CC78C3">
        <w:rPr>
          <w:rFonts w:ascii="Times New Roman" w:hAnsi="Times New Roman" w:cs="Times New Roman"/>
          <w:sz w:val="24"/>
          <w:szCs w:val="24"/>
        </w:rPr>
        <w:t xml:space="preserve"> </w:t>
      </w:r>
      <w:r w:rsidR="003131E9">
        <w:rPr>
          <w:rFonts w:ascii="Times New Roman" w:hAnsi="Times New Roman" w:cs="Times New Roman"/>
          <w:sz w:val="24"/>
          <w:szCs w:val="24"/>
        </w:rPr>
        <w:t>актуальность исследования</w:t>
      </w:r>
      <w:r w:rsidR="00CC78C3">
        <w:rPr>
          <w:rFonts w:ascii="Times New Roman" w:hAnsi="Times New Roman" w:cs="Times New Roman"/>
          <w:sz w:val="24"/>
          <w:szCs w:val="24"/>
        </w:rPr>
        <w:t xml:space="preserve"> </w:t>
      </w:r>
      <w:r w:rsidR="00731A3D">
        <w:rPr>
          <w:rFonts w:ascii="Times New Roman" w:hAnsi="Times New Roman" w:cs="Times New Roman"/>
          <w:sz w:val="24"/>
          <w:szCs w:val="24"/>
        </w:rPr>
        <w:t xml:space="preserve">и необходимость построения </w:t>
      </w:r>
      <w:r w:rsidR="00CC78C3">
        <w:rPr>
          <w:rFonts w:ascii="Times New Roman" w:hAnsi="Times New Roman" w:cs="Times New Roman"/>
          <w:sz w:val="24"/>
          <w:szCs w:val="24"/>
        </w:rPr>
        <w:t>модели формирования спреда региональных облигаций для инвестор</w:t>
      </w:r>
      <w:r>
        <w:rPr>
          <w:rFonts w:ascii="Times New Roman" w:hAnsi="Times New Roman" w:cs="Times New Roman"/>
          <w:sz w:val="24"/>
          <w:szCs w:val="24"/>
        </w:rPr>
        <w:t>ов</w:t>
      </w:r>
      <w:r w:rsidR="00731A3D">
        <w:rPr>
          <w:rFonts w:ascii="Times New Roman" w:hAnsi="Times New Roman" w:cs="Times New Roman"/>
          <w:sz w:val="24"/>
          <w:szCs w:val="24"/>
        </w:rPr>
        <w:t xml:space="preserve"> на актуальных данных</w:t>
      </w:r>
      <w:r w:rsidR="00CC78C3">
        <w:rPr>
          <w:rFonts w:ascii="Times New Roman" w:hAnsi="Times New Roman" w:cs="Times New Roman"/>
          <w:sz w:val="24"/>
          <w:szCs w:val="24"/>
        </w:rPr>
        <w:t>.</w:t>
      </w:r>
    </w:p>
    <w:p w14:paraId="4BCFC0E1" w14:textId="3F8F40AF" w:rsidR="003D60CB" w:rsidRDefault="000C6BD7" w:rsidP="003D60C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3D60CB" w:rsidRPr="003D60CB">
        <w:rPr>
          <w:rFonts w:ascii="Times New Roman" w:hAnsi="Times New Roman" w:cs="Times New Roman"/>
          <w:sz w:val="24"/>
          <w:szCs w:val="24"/>
        </w:rPr>
        <w:t xml:space="preserve">ыпуск региональных облигаций </w:t>
      </w:r>
      <w:r>
        <w:rPr>
          <w:rFonts w:ascii="Times New Roman" w:hAnsi="Times New Roman" w:cs="Times New Roman"/>
          <w:sz w:val="24"/>
          <w:szCs w:val="24"/>
        </w:rPr>
        <w:t>выступает</w:t>
      </w:r>
      <w:r w:rsidR="000C06E3" w:rsidRPr="003D60CB">
        <w:rPr>
          <w:rFonts w:ascii="Times New Roman" w:hAnsi="Times New Roman" w:cs="Times New Roman"/>
          <w:sz w:val="24"/>
          <w:szCs w:val="24"/>
        </w:rPr>
        <w:t xml:space="preserve"> более</w:t>
      </w:r>
      <w:r w:rsidR="000C06E3">
        <w:rPr>
          <w:rFonts w:ascii="Times New Roman" w:hAnsi="Times New Roman" w:cs="Times New Roman"/>
          <w:sz w:val="24"/>
          <w:szCs w:val="24"/>
        </w:rPr>
        <w:t xml:space="preserve"> дешевой альтернативой другим источникам </w:t>
      </w:r>
      <w:r w:rsidR="003D60CB" w:rsidRPr="003D60CB">
        <w:rPr>
          <w:rFonts w:ascii="Times New Roman" w:hAnsi="Times New Roman" w:cs="Times New Roman"/>
          <w:sz w:val="24"/>
          <w:szCs w:val="24"/>
        </w:rPr>
        <w:t>финансирования развития региона</w:t>
      </w:r>
      <w:r w:rsidR="000C06E3">
        <w:rPr>
          <w:rFonts w:ascii="Times New Roman" w:hAnsi="Times New Roman" w:cs="Times New Roman"/>
          <w:sz w:val="24"/>
          <w:szCs w:val="24"/>
        </w:rPr>
        <w:t xml:space="preserve">. Поэтому </w:t>
      </w:r>
      <w:r w:rsidR="003131E9">
        <w:rPr>
          <w:rFonts w:ascii="Times New Roman" w:hAnsi="Times New Roman" w:cs="Times New Roman"/>
          <w:sz w:val="24"/>
          <w:szCs w:val="24"/>
        </w:rPr>
        <w:t>формирование и оценка</w:t>
      </w:r>
      <w:r w:rsidR="000C06E3">
        <w:rPr>
          <w:rFonts w:ascii="Times New Roman" w:hAnsi="Times New Roman" w:cs="Times New Roman"/>
          <w:sz w:val="24"/>
          <w:szCs w:val="24"/>
        </w:rPr>
        <w:t xml:space="preserve"> модели влияния премии за риск по региональным облигациям в модели формирования ВВП страны</w:t>
      </w:r>
      <w:r w:rsidR="003131E9">
        <w:rPr>
          <w:rFonts w:ascii="Times New Roman" w:hAnsi="Times New Roman" w:cs="Times New Roman"/>
          <w:sz w:val="24"/>
          <w:szCs w:val="24"/>
        </w:rPr>
        <w:t xml:space="preserve"> представляют исследовательский интерес с точки зрения устойчивого развития. С</w:t>
      </w:r>
      <w:r w:rsidR="003D60CB">
        <w:rPr>
          <w:rFonts w:ascii="Times New Roman" w:hAnsi="Times New Roman" w:cs="Times New Roman"/>
          <w:sz w:val="24"/>
          <w:szCs w:val="24"/>
        </w:rPr>
        <w:t>овременные</w:t>
      </w:r>
      <w:r w:rsidR="003D60CB" w:rsidRPr="00325C17">
        <w:rPr>
          <w:rFonts w:ascii="Times New Roman" w:hAnsi="Times New Roman" w:cs="Times New Roman"/>
          <w:sz w:val="24"/>
          <w:szCs w:val="24"/>
        </w:rPr>
        <w:t xml:space="preserve"> реалии в мировой и отечественной экономике, нестабильность на финансовых рынках, </w:t>
      </w:r>
      <w:r w:rsidR="003D60CB">
        <w:rPr>
          <w:rFonts w:ascii="Times New Roman" w:hAnsi="Times New Roman" w:cs="Times New Roman"/>
          <w:sz w:val="24"/>
          <w:szCs w:val="24"/>
        </w:rPr>
        <w:t xml:space="preserve">которые провоцируют </w:t>
      </w:r>
      <w:r w:rsidR="003D60CB" w:rsidRPr="00325C17">
        <w:rPr>
          <w:rFonts w:ascii="Times New Roman" w:hAnsi="Times New Roman" w:cs="Times New Roman"/>
          <w:sz w:val="24"/>
          <w:szCs w:val="24"/>
        </w:rPr>
        <w:t>многообразие факторов, влияющих на оценку риска</w:t>
      </w:r>
      <w:r w:rsidR="003D60CB">
        <w:rPr>
          <w:rFonts w:ascii="Times New Roman" w:hAnsi="Times New Roman" w:cs="Times New Roman"/>
          <w:sz w:val="24"/>
          <w:szCs w:val="24"/>
        </w:rPr>
        <w:t xml:space="preserve"> и </w:t>
      </w:r>
      <w:r w:rsidR="003D60CB" w:rsidRPr="00325C17">
        <w:rPr>
          <w:rFonts w:ascii="Times New Roman" w:hAnsi="Times New Roman" w:cs="Times New Roman"/>
          <w:sz w:val="24"/>
          <w:szCs w:val="24"/>
        </w:rPr>
        <w:t xml:space="preserve">доходности инструментов долгового рынка, а также возросший интерес инвесторов и эмитентов обуславливают </w:t>
      </w:r>
      <w:r w:rsidR="003D60CB">
        <w:rPr>
          <w:rFonts w:ascii="Times New Roman" w:hAnsi="Times New Roman" w:cs="Times New Roman"/>
          <w:sz w:val="24"/>
          <w:szCs w:val="24"/>
        </w:rPr>
        <w:t>необходимость</w:t>
      </w:r>
      <w:r w:rsidR="003D60CB" w:rsidRPr="00325C17">
        <w:rPr>
          <w:rFonts w:ascii="Times New Roman" w:hAnsi="Times New Roman" w:cs="Times New Roman"/>
          <w:sz w:val="24"/>
          <w:szCs w:val="24"/>
        </w:rPr>
        <w:t xml:space="preserve"> </w:t>
      </w:r>
      <w:r w:rsidR="003D60CB">
        <w:rPr>
          <w:rFonts w:ascii="Times New Roman" w:hAnsi="Times New Roman" w:cs="Times New Roman"/>
          <w:sz w:val="24"/>
          <w:szCs w:val="24"/>
        </w:rPr>
        <w:t>изучения</w:t>
      </w:r>
      <w:r w:rsidR="003D60CB" w:rsidRPr="00325C17">
        <w:rPr>
          <w:rFonts w:ascii="Times New Roman" w:hAnsi="Times New Roman" w:cs="Times New Roman"/>
          <w:sz w:val="24"/>
          <w:szCs w:val="24"/>
        </w:rPr>
        <w:t xml:space="preserve"> </w:t>
      </w:r>
      <w:r w:rsidR="003D60CB">
        <w:rPr>
          <w:rFonts w:ascii="Times New Roman" w:hAnsi="Times New Roman" w:cs="Times New Roman"/>
          <w:sz w:val="24"/>
          <w:szCs w:val="24"/>
        </w:rPr>
        <w:t xml:space="preserve">особенностей </w:t>
      </w:r>
      <w:r w:rsidR="003D60CB" w:rsidRPr="00325C17">
        <w:rPr>
          <w:rFonts w:ascii="Times New Roman" w:hAnsi="Times New Roman" w:cs="Times New Roman"/>
          <w:sz w:val="24"/>
          <w:szCs w:val="24"/>
        </w:rPr>
        <w:t xml:space="preserve">российского </w:t>
      </w:r>
      <w:r w:rsidR="003D60CB">
        <w:rPr>
          <w:rFonts w:ascii="Times New Roman" w:hAnsi="Times New Roman" w:cs="Times New Roman"/>
          <w:sz w:val="24"/>
          <w:szCs w:val="24"/>
        </w:rPr>
        <w:t>долгового рынка</w:t>
      </w:r>
      <w:r w:rsidR="003D60CB" w:rsidRPr="00325C17">
        <w:rPr>
          <w:rFonts w:ascii="Times New Roman" w:hAnsi="Times New Roman" w:cs="Times New Roman"/>
          <w:sz w:val="24"/>
          <w:szCs w:val="24"/>
        </w:rPr>
        <w:t>.</w:t>
      </w:r>
    </w:p>
    <w:p w14:paraId="0A5678A0" w14:textId="6AF0C1F4" w:rsidR="003969EF" w:rsidRDefault="003D60CB" w:rsidP="00AD305F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D60CB">
        <w:rPr>
          <w:rFonts w:ascii="Times New Roman" w:hAnsi="Times New Roman" w:cs="Times New Roman"/>
          <w:sz w:val="24"/>
          <w:szCs w:val="24"/>
        </w:rPr>
        <w:t xml:space="preserve">Тема формирования спредов доходности региональных облигаций мало изучена в научной литературе. </w:t>
      </w:r>
      <w:r w:rsidR="003969EF" w:rsidRPr="003969EF">
        <w:rPr>
          <w:rFonts w:ascii="Times New Roman" w:hAnsi="Times New Roman" w:cs="Times New Roman"/>
          <w:sz w:val="24"/>
          <w:szCs w:val="24"/>
        </w:rPr>
        <w:t xml:space="preserve">В зарубежной литературе данная тема изучена в статьях </w:t>
      </w:r>
      <w:proofErr w:type="spellStart"/>
      <w:r w:rsidR="003969EF" w:rsidRPr="003969EF">
        <w:rPr>
          <w:rFonts w:ascii="Times New Roman" w:hAnsi="Times New Roman" w:cs="Times New Roman"/>
          <w:sz w:val="24"/>
          <w:szCs w:val="24"/>
        </w:rPr>
        <w:t>Ludvigson</w:t>
      </w:r>
      <w:proofErr w:type="spellEnd"/>
      <w:r w:rsidR="003969EF" w:rsidRPr="003969EF">
        <w:rPr>
          <w:rFonts w:ascii="Times New Roman" w:hAnsi="Times New Roman" w:cs="Times New Roman"/>
          <w:sz w:val="24"/>
          <w:szCs w:val="24"/>
        </w:rPr>
        <w:t xml:space="preserve"> S. C. и S. </w:t>
      </w:r>
      <w:proofErr w:type="spellStart"/>
      <w:r w:rsidR="003969EF" w:rsidRPr="003969EF">
        <w:rPr>
          <w:rFonts w:ascii="Times New Roman" w:hAnsi="Times New Roman" w:cs="Times New Roman"/>
          <w:sz w:val="24"/>
          <w:szCs w:val="24"/>
        </w:rPr>
        <w:t>Ng</w:t>
      </w:r>
      <w:proofErr w:type="spellEnd"/>
      <w:r w:rsidR="003969EF" w:rsidRPr="003969EF">
        <w:rPr>
          <w:rFonts w:ascii="Times New Roman" w:hAnsi="Times New Roman" w:cs="Times New Roman"/>
          <w:sz w:val="24"/>
          <w:szCs w:val="24"/>
        </w:rPr>
        <w:t xml:space="preserve">. [4], </w:t>
      </w:r>
      <w:proofErr w:type="spellStart"/>
      <w:r w:rsidR="003969EF" w:rsidRPr="003969EF">
        <w:rPr>
          <w:rFonts w:ascii="Times New Roman" w:hAnsi="Times New Roman" w:cs="Times New Roman"/>
          <w:sz w:val="24"/>
          <w:szCs w:val="24"/>
        </w:rPr>
        <w:t>Bianchi</w:t>
      </w:r>
      <w:proofErr w:type="spellEnd"/>
      <w:r w:rsidR="003969EF" w:rsidRPr="003969EF">
        <w:rPr>
          <w:rFonts w:ascii="Times New Roman" w:hAnsi="Times New Roman" w:cs="Times New Roman"/>
          <w:sz w:val="24"/>
          <w:szCs w:val="24"/>
        </w:rPr>
        <w:t xml:space="preserve"> D., M. </w:t>
      </w:r>
      <w:proofErr w:type="spellStart"/>
      <w:r w:rsidR="003969EF" w:rsidRPr="003969EF">
        <w:rPr>
          <w:rFonts w:ascii="Times New Roman" w:hAnsi="Times New Roman" w:cs="Times New Roman"/>
          <w:sz w:val="24"/>
          <w:szCs w:val="24"/>
        </w:rPr>
        <w:t>Büchner</w:t>
      </w:r>
      <w:proofErr w:type="spellEnd"/>
      <w:r w:rsidR="003969EF" w:rsidRPr="003969EF">
        <w:rPr>
          <w:rFonts w:ascii="Times New Roman" w:hAnsi="Times New Roman" w:cs="Times New Roman"/>
          <w:sz w:val="24"/>
          <w:szCs w:val="24"/>
        </w:rPr>
        <w:t xml:space="preserve">, и A. </w:t>
      </w:r>
      <w:proofErr w:type="spellStart"/>
      <w:r w:rsidR="003969EF" w:rsidRPr="003969EF">
        <w:rPr>
          <w:rFonts w:ascii="Times New Roman" w:hAnsi="Times New Roman" w:cs="Times New Roman"/>
          <w:sz w:val="24"/>
          <w:szCs w:val="24"/>
        </w:rPr>
        <w:t>Tamoni</w:t>
      </w:r>
      <w:proofErr w:type="spellEnd"/>
      <w:r w:rsidR="003969EF" w:rsidRPr="003969EF">
        <w:rPr>
          <w:rFonts w:ascii="Times New Roman" w:hAnsi="Times New Roman" w:cs="Times New Roman"/>
          <w:sz w:val="24"/>
          <w:szCs w:val="24"/>
        </w:rPr>
        <w:t xml:space="preserve"> [5]. </w:t>
      </w:r>
      <w:r w:rsidR="003969EF">
        <w:rPr>
          <w:rFonts w:ascii="Times New Roman" w:hAnsi="Times New Roman" w:cs="Times New Roman"/>
          <w:sz w:val="24"/>
          <w:szCs w:val="24"/>
        </w:rPr>
        <w:t xml:space="preserve">На рынках других развивающихся стран выделяются работы </w:t>
      </w:r>
      <w:proofErr w:type="spellStart"/>
      <w:r w:rsidR="003969EF">
        <w:rPr>
          <w:rFonts w:ascii="Times New Roman" w:hAnsi="Times New Roman" w:cs="Times New Roman"/>
          <w:sz w:val="24"/>
          <w:szCs w:val="24"/>
        </w:rPr>
        <w:t>Гуо</w:t>
      </w:r>
      <w:proofErr w:type="spellEnd"/>
      <w:r w:rsidR="003969E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969EF">
        <w:rPr>
          <w:rFonts w:ascii="Times New Roman" w:hAnsi="Times New Roman" w:cs="Times New Roman"/>
          <w:sz w:val="24"/>
          <w:szCs w:val="24"/>
        </w:rPr>
        <w:t>Ванг</w:t>
      </w:r>
      <w:proofErr w:type="spellEnd"/>
      <w:r w:rsidR="003969E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3969EF">
        <w:rPr>
          <w:rFonts w:ascii="Times New Roman" w:hAnsi="Times New Roman" w:cs="Times New Roman"/>
          <w:sz w:val="24"/>
          <w:szCs w:val="24"/>
        </w:rPr>
        <w:t>Чанг</w:t>
      </w:r>
      <w:proofErr w:type="spellEnd"/>
      <w:r w:rsidR="003969EF">
        <w:rPr>
          <w:rFonts w:ascii="Times New Roman" w:hAnsi="Times New Roman" w:cs="Times New Roman"/>
          <w:sz w:val="24"/>
          <w:szCs w:val="24"/>
        </w:rPr>
        <w:t xml:space="preserve">, Фан, которые также применяли регрессионный анализ в целях исследования спреда корпоративных китайских облигаций </w:t>
      </w:r>
      <w:r w:rsidR="003969EF" w:rsidRPr="003969EF">
        <w:rPr>
          <w:rFonts w:ascii="Times New Roman" w:hAnsi="Times New Roman" w:cs="Times New Roman"/>
          <w:sz w:val="24"/>
          <w:szCs w:val="24"/>
        </w:rPr>
        <w:t>[6]</w:t>
      </w:r>
      <w:r w:rsidR="003969E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9EA7E08" w14:textId="751A6D20" w:rsidR="003D60CB" w:rsidRPr="003969EF" w:rsidRDefault="009010DA" w:rsidP="00AD305F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российской литературе не представлено ни одной работы, касающейся методов оценки и формирования спреда доходности региональных облигаций. </w:t>
      </w:r>
      <w:r w:rsidR="003969EF">
        <w:rPr>
          <w:rFonts w:ascii="Times New Roman" w:hAnsi="Times New Roman" w:cs="Times New Roman"/>
          <w:sz w:val="24"/>
          <w:szCs w:val="24"/>
        </w:rPr>
        <w:t>Однако существует</w:t>
      </w:r>
      <w:r>
        <w:rPr>
          <w:rFonts w:ascii="Times New Roman" w:hAnsi="Times New Roman" w:cs="Times New Roman"/>
          <w:sz w:val="24"/>
          <w:szCs w:val="24"/>
        </w:rPr>
        <w:t xml:space="preserve"> литература с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количественными методами исследования по тематике формирования спреда корпоративных облигаций. </w:t>
      </w:r>
      <w:r w:rsidR="00AD305F">
        <w:rPr>
          <w:rFonts w:ascii="Times New Roman" w:hAnsi="Times New Roman" w:cs="Times New Roman"/>
          <w:sz w:val="24"/>
          <w:szCs w:val="24"/>
        </w:rPr>
        <w:t>Так, Ерофеева в своих работах о формировании и прогнозировании спредов доходности российских корпоративных облигаций применя</w:t>
      </w:r>
      <w:r w:rsidR="003969EF">
        <w:rPr>
          <w:rFonts w:ascii="Times New Roman" w:hAnsi="Times New Roman" w:cs="Times New Roman"/>
          <w:sz w:val="24"/>
          <w:szCs w:val="24"/>
        </w:rPr>
        <w:t>ет</w:t>
      </w:r>
      <w:r w:rsidR="00AD305F">
        <w:rPr>
          <w:rFonts w:ascii="Times New Roman" w:hAnsi="Times New Roman" w:cs="Times New Roman"/>
          <w:sz w:val="24"/>
          <w:szCs w:val="24"/>
        </w:rPr>
        <w:t xml:space="preserve"> регрессионный анализ</w:t>
      </w:r>
      <w:r w:rsidR="00731A3D">
        <w:rPr>
          <w:rFonts w:ascii="Times New Roman" w:hAnsi="Times New Roman" w:cs="Times New Roman"/>
          <w:sz w:val="24"/>
          <w:szCs w:val="24"/>
        </w:rPr>
        <w:t xml:space="preserve"> </w:t>
      </w:r>
      <w:r w:rsidR="00731A3D" w:rsidRPr="00731A3D">
        <w:rPr>
          <w:rFonts w:ascii="Times New Roman" w:hAnsi="Times New Roman" w:cs="Times New Roman"/>
          <w:sz w:val="24"/>
          <w:szCs w:val="24"/>
        </w:rPr>
        <w:t>[</w:t>
      </w:r>
      <w:r w:rsidR="003969EF">
        <w:rPr>
          <w:rFonts w:ascii="Times New Roman" w:hAnsi="Times New Roman" w:cs="Times New Roman"/>
          <w:sz w:val="24"/>
          <w:szCs w:val="24"/>
        </w:rPr>
        <w:t>1</w:t>
      </w:r>
      <w:r w:rsidR="00731A3D" w:rsidRPr="00731A3D">
        <w:rPr>
          <w:rFonts w:ascii="Times New Roman" w:hAnsi="Times New Roman" w:cs="Times New Roman"/>
          <w:sz w:val="24"/>
          <w:szCs w:val="24"/>
        </w:rPr>
        <w:t>]</w:t>
      </w:r>
      <w:r w:rsidR="00AD305F">
        <w:rPr>
          <w:rFonts w:ascii="Times New Roman" w:hAnsi="Times New Roman" w:cs="Times New Roman"/>
          <w:sz w:val="24"/>
          <w:szCs w:val="24"/>
        </w:rPr>
        <w:t xml:space="preserve">. </w:t>
      </w:r>
      <w:r w:rsidR="003969EF">
        <w:rPr>
          <w:rFonts w:ascii="Times New Roman" w:hAnsi="Times New Roman" w:cs="Times New Roman"/>
          <w:sz w:val="24"/>
          <w:szCs w:val="24"/>
        </w:rPr>
        <w:t xml:space="preserve">Вопросы инвестиционной привлекательности облигаций в портфеле инвестора представлены в работах </w:t>
      </w:r>
      <w:r w:rsidR="003969EF" w:rsidRPr="003969EF">
        <w:rPr>
          <w:rFonts w:ascii="Times New Roman" w:hAnsi="Times New Roman" w:cs="Times New Roman"/>
          <w:sz w:val="24"/>
          <w:szCs w:val="24"/>
        </w:rPr>
        <w:t>Корень А.В. Рубцов</w:t>
      </w:r>
      <w:r w:rsidR="003969EF">
        <w:rPr>
          <w:rFonts w:ascii="Times New Roman" w:hAnsi="Times New Roman" w:cs="Times New Roman"/>
          <w:sz w:val="24"/>
          <w:szCs w:val="24"/>
        </w:rPr>
        <w:t>ой</w:t>
      </w:r>
      <w:r w:rsidR="003969EF" w:rsidRPr="003969EF">
        <w:rPr>
          <w:rFonts w:ascii="Times New Roman" w:hAnsi="Times New Roman" w:cs="Times New Roman"/>
          <w:sz w:val="24"/>
          <w:szCs w:val="24"/>
        </w:rPr>
        <w:t xml:space="preserve"> Н.В</w:t>
      </w:r>
      <w:r w:rsidR="003969EF">
        <w:rPr>
          <w:rFonts w:ascii="Times New Roman" w:hAnsi="Times New Roman" w:cs="Times New Roman"/>
          <w:sz w:val="24"/>
          <w:szCs w:val="24"/>
        </w:rPr>
        <w:t xml:space="preserve"> </w:t>
      </w:r>
      <w:r w:rsidR="003969EF" w:rsidRPr="003969EF">
        <w:rPr>
          <w:rFonts w:ascii="Times New Roman" w:hAnsi="Times New Roman" w:cs="Times New Roman"/>
          <w:sz w:val="24"/>
          <w:szCs w:val="24"/>
        </w:rPr>
        <w:t>[</w:t>
      </w:r>
      <w:r w:rsidR="003969EF">
        <w:rPr>
          <w:rFonts w:ascii="Times New Roman" w:hAnsi="Times New Roman" w:cs="Times New Roman"/>
          <w:sz w:val="24"/>
          <w:szCs w:val="24"/>
        </w:rPr>
        <w:t>2</w:t>
      </w:r>
      <w:r w:rsidR="003969EF" w:rsidRPr="003969EF">
        <w:rPr>
          <w:rFonts w:ascii="Times New Roman" w:hAnsi="Times New Roman" w:cs="Times New Roman"/>
          <w:sz w:val="24"/>
          <w:szCs w:val="24"/>
        </w:rPr>
        <w:t>]</w:t>
      </w:r>
      <w:r w:rsidR="003969EF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="003969EF" w:rsidRPr="003969EF">
        <w:rPr>
          <w:rFonts w:ascii="Times New Roman" w:hAnsi="Times New Roman" w:cs="Times New Roman"/>
          <w:sz w:val="24"/>
          <w:szCs w:val="24"/>
        </w:rPr>
        <w:t>Остапенко А.Е.</w:t>
      </w:r>
      <w:r w:rsidR="003969EF">
        <w:rPr>
          <w:rFonts w:ascii="Times New Roman" w:hAnsi="Times New Roman" w:cs="Times New Roman"/>
          <w:sz w:val="24"/>
          <w:szCs w:val="24"/>
        </w:rPr>
        <w:t xml:space="preserve"> и соавторов </w:t>
      </w:r>
      <w:r w:rsidR="003969EF" w:rsidRPr="003969EF">
        <w:rPr>
          <w:rFonts w:ascii="Times New Roman" w:hAnsi="Times New Roman" w:cs="Times New Roman"/>
          <w:sz w:val="24"/>
          <w:szCs w:val="24"/>
        </w:rPr>
        <w:t>[3]</w:t>
      </w:r>
      <w:r w:rsidR="003969EF">
        <w:rPr>
          <w:rFonts w:ascii="Times New Roman" w:hAnsi="Times New Roman" w:cs="Times New Roman"/>
          <w:sz w:val="24"/>
          <w:szCs w:val="24"/>
        </w:rPr>
        <w:t>.</w:t>
      </w:r>
    </w:p>
    <w:p w14:paraId="672497A7" w14:textId="277D59C2" w:rsidR="00794878" w:rsidRDefault="003969EF" w:rsidP="00794878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Задачами</w:t>
      </w:r>
      <w:r w:rsidR="00794878">
        <w:rPr>
          <w:rFonts w:ascii="Times New Roman" w:hAnsi="Times New Roman" w:cs="Times New Roman"/>
          <w:sz w:val="24"/>
          <w:szCs w:val="24"/>
        </w:rPr>
        <w:t xml:space="preserve"> исследования являются оценка факторов формирования спреда региональных облигаций</w:t>
      </w:r>
      <w:r w:rsidR="00794878" w:rsidRPr="00794878">
        <w:t xml:space="preserve"> </w:t>
      </w:r>
      <w:r w:rsidR="00794878" w:rsidRPr="00794878">
        <w:rPr>
          <w:rFonts w:ascii="Times New Roman" w:hAnsi="Times New Roman" w:cs="Times New Roman"/>
          <w:sz w:val="24"/>
          <w:szCs w:val="24"/>
        </w:rPr>
        <w:t xml:space="preserve">и, как следствие, </w:t>
      </w:r>
      <w:r w:rsidR="00794878">
        <w:rPr>
          <w:rFonts w:ascii="Times New Roman" w:hAnsi="Times New Roman" w:cs="Times New Roman"/>
          <w:sz w:val="24"/>
          <w:szCs w:val="24"/>
        </w:rPr>
        <w:t>определение предпочтений инвесторов и возможностей</w:t>
      </w:r>
      <w:r w:rsidR="00794878" w:rsidRPr="00794878">
        <w:rPr>
          <w:rFonts w:ascii="Times New Roman" w:hAnsi="Times New Roman" w:cs="Times New Roman"/>
          <w:sz w:val="24"/>
          <w:szCs w:val="24"/>
        </w:rPr>
        <w:t xml:space="preserve"> эмитентов</w:t>
      </w:r>
      <w:r w:rsidR="00794878">
        <w:rPr>
          <w:rFonts w:ascii="Times New Roman" w:hAnsi="Times New Roman" w:cs="Times New Roman"/>
          <w:sz w:val="24"/>
          <w:szCs w:val="24"/>
        </w:rPr>
        <w:t xml:space="preserve">, а также выявление того, </w:t>
      </w:r>
      <w:r w:rsidR="00794878" w:rsidRPr="00794878">
        <w:rPr>
          <w:rFonts w:ascii="Times New Roman" w:hAnsi="Times New Roman" w:cs="Times New Roman"/>
          <w:sz w:val="24"/>
          <w:szCs w:val="24"/>
        </w:rPr>
        <w:t>могут ли региональные облигации способствовать устойчивому развитию страны</w:t>
      </w:r>
      <w:r w:rsidR="00794878">
        <w:rPr>
          <w:rFonts w:ascii="Times New Roman" w:hAnsi="Times New Roman" w:cs="Times New Roman"/>
          <w:sz w:val="24"/>
          <w:szCs w:val="24"/>
        </w:rPr>
        <w:t>.</w:t>
      </w:r>
    </w:p>
    <w:p w14:paraId="59CF49D2" w14:textId="517A6664" w:rsidR="0020195C" w:rsidRDefault="0020195C" w:rsidP="001A6F8C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Выборка состоит из 63 облигаций за период с 2016 года по 2023 год. </w:t>
      </w:r>
      <w:r w:rsidR="00085254">
        <w:rPr>
          <w:rFonts w:ascii="Times New Roman" w:hAnsi="Times New Roman" w:cs="Times New Roman"/>
          <w:sz w:val="24"/>
          <w:szCs w:val="24"/>
        </w:rPr>
        <w:t>Так, минимальный спред составляет 0,52 базисных пункта, максимальный – 243,77 базисных пунктов, но в среднем дель</w:t>
      </w:r>
      <w:r w:rsidR="00A076A2">
        <w:rPr>
          <w:rFonts w:ascii="Times New Roman" w:hAnsi="Times New Roman" w:cs="Times New Roman"/>
          <w:sz w:val="24"/>
          <w:szCs w:val="24"/>
        </w:rPr>
        <w:t>та равна 77,09 базисным пунктам</w:t>
      </w:r>
      <w:r w:rsidR="00085254">
        <w:rPr>
          <w:rFonts w:ascii="Times New Roman" w:hAnsi="Times New Roman" w:cs="Times New Roman"/>
          <w:sz w:val="24"/>
          <w:szCs w:val="24"/>
        </w:rPr>
        <w:t>. Согласно значениям эксцесса и асимметрии, ключевая ставка и объем эмиссии логарифмируются в модели для сглаживания нелинейных связей.</w:t>
      </w:r>
      <w:r w:rsidR="001A6F8C">
        <w:rPr>
          <w:rFonts w:ascii="Times New Roman" w:hAnsi="Times New Roman" w:cs="Times New Roman"/>
          <w:sz w:val="24"/>
          <w:szCs w:val="24"/>
        </w:rPr>
        <w:t xml:space="preserve"> </w:t>
      </w:r>
      <w:r w:rsidR="00A076A2">
        <w:rPr>
          <w:rFonts w:ascii="Times New Roman" w:hAnsi="Times New Roman" w:cs="Times New Roman"/>
          <w:sz w:val="24"/>
          <w:szCs w:val="24"/>
        </w:rPr>
        <w:t xml:space="preserve">В целях данного исследования строились 2 модели. </w:t>
      </w:r>
    </w:p>
    <w:p w14:paraId="5ABD7F05" w14:textId="66508941" w:rsidR="006A63B7" w:rsidRPr="00B57203" w:rsidRDefault="00B57203" w:rsidP="00B57203">
      <w:pPr>
        <w:spacing w:line="360" w:lineRule="auto"/>
        <w:ind w:firstLine="709"/>
        <w:jc w:val="both"/>
        <w:rPr>
          <w:rFonts w:ascii="Cambria Math" w:hAnsi="Cambria Math" w:cs="Cambria Math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Модель 1 представляет собой формирование спреда для инвесторов. Зависимой переменной является </w:t>
      </w:r>
      <w:r w:rsidRPr="00BC02BC">
        <w:rPr>
          <w:rFonts w:ascii="Times New Roman" w:hAnsi="Times New Roman" w:cs="Times New Roman"/>
          <w:sz w:val="24"/>
          <w:szCs w:val="24"/>
        </w:rPr>
        <w:t>G-спред</w:t>
      </w:r>
      <w:r>
        <w:rPr>
          <w:rFonts w:ascii="Times New Roman" w:hAnsi="Times New Roman" w:cs="Times New Roman"/>
          <w:sz w:val="24"/>
          <w:szCs w:val="24"/>
        </w:rPr>
        <w:t xml:space="preserve">, который </w:t>
      </w:r>
      <w:r w:rsidRPr="00BC02BC">
        <w:rPr>
          <w:rFonts w:ascii="Times New Roman" w:hAnsi="Times New Roman" w:cs="Times New Roman"/>
          <w:sz w:val="24"/>
          <w:szCs w:val="24"/>
        </w:rPr>
        <w:t>представляет собой разницу между текущей доходностью облигации и значением на G-кривой по облигациям федерального займа с такой же дюрацией.</w:t>
      </w:r>
      <w:r>
        <w:rPr>
          <w:rFonts w:ascii="Times New Roman" w:hAnsi="Times New Roman" w:cs="Times New Roman"/>
          <w:sz w:val="24"/>
          <w:szCs w:val="24"/>
        </w:rPr>
        <w:t xml:space="preserve"> Исследуемые факторы в этой модели следующие</w:t>
      </w:r>
      <w:r w:rsidR="00A076A2">
        <w:rPr>
          <w:rFonts w:ascii="Times New Roman" w:hAnsi="Times New Roman" w:cs="Times New Roman"/>
          <w:sz w:val="24"/>
          <w:szCs w:val="24"/>
        </w:rPr>
        <w:t>:</w:t>
      </w:r>
      <w:r w:rsidR="006A63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63B7">
        <w:rPr>
          <w:rFonts w:ascii="Times New Roman" w:hAnsi="Times New Roman" w:cs="Times New Roman"/>
          <w:sz w:val="24"/>
          <w:szCs w:val="24"/>
        </w:rPr>
        <w:t>бид-аск</w:t>
      </w:r>
      <w:proofErr w:type="spellEnd"/>
      <w:r w:rsidR="006A63B7">
        <w:rPr>
          <w:rFonts w:ascii="Times New Roman" w:hAnsi="Times New Roman" w:cs="Times New Roman"/>
          <w:sz w:val="24"/>
          <w:szCs w:val="24"/>
        </w:rPr>
        <w:t xml:space="preserve"> спреды, кредитный рейтинг, дюрация, объем эмиссии</w:t>
      </w:r>
      <w:r>
        <w:rPr>
          <w:rFonts w:ascii="Times New Roman" w:hAnsi="Times New Roman" w:cs="Times New Roman"/>
          <w:sz w:val="24"/>
          <w:szCs w:val="24"/>
        </w:rPr>
        <w:t>, валютный курс, ключевая ставка, темп роста ВВП, торговый баланс, цены на нефть</w:t>
      </w:r>
      <w:r w:rsidR="006A63B7">
        <w:rPr>
          <w:rFonts w:ascii="Times New Roman" w:hAnsi="Times New Roman" w:cs="Times New Roman"/>
          <w:sz w:val="24"/>
          <w:szCs w:val="24"/>
        </w:rPr>
        <w:t xml:space="preserve">. В итоговое уравнение вошли только значимые факторы: объем эмиссии и рейтинг.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A076A2">
        <w:rPr>
          <w:rFonts w:ascii="Times New Roman" w:hAnsi="Times New Roman" w:cs="Times New Roman"/>
          <w:sz w:val="24"/>
          <w:szCs w:val="24"/>
        </w:rPr>
        <w:t>равнение модели 1</w:t>
      </w:r>
      <w:r w:rsidR="006A63B7">
        <w:rPr>
          <w:rFonts w:ascii="Times New Roman" w:hAnsi="Times New Roman" w:cs="Times New Roman"/>
          <w:sz w:val="24"/>
          <w:szCs w:val="24"/>
        </w:rPr>
        <w:t xml:space="preserve"> выглядит следующим образом</w:t>
      </w:r>
      <w:r w:rsidR="00A076A2">
        <w:rPr>
          <w:rFonts w:ascii="Times New Roman" w:hAnsi="Times New Roman" w:cs="Times New Roman"/>
          <w:sz w:val="24"/>
          <w:szCs w:val="24"/>
        </w:rPr>
        <w:t xml:space="preserve">: </w:t>
      </w:r>
      <w:r w:rsidR="00A076A2" w:rsidRPr="00A076A2">
        <w:rPr>
          <w:rFonts w:ascii="Cambria Math" w:hAnsi="Cambria Math" w:cs="Cambria Math"/>
          <w:sz w:val="24"/>
          <w:szCs w:val="24"/>
        </w:rPr>
        <w:t>𝐺</w:t>
      </w:r>
      <w:r w:rsidR="00A076A2" w:rsidRPr="00A076A2">
        <w:rPr>
          <w:rFonts w:ascii="Times New Roman" w:hAnsi="Times New Roman" w:cs="Times New Roman"/>
          <w:sz w:val="24"/>
          <w:szCs w:val="24"/>
        </w:rPr>
        <w:t>−</w:t>
      </w:r>
      <w:r w:rsidR="00A076A2" w:rsidRPr="00A076A2">
        <w:rPr>
          <w:rFonts w:ascii="Cambria Math" w:hAnsi="Cambria Math" w:cs="Cambria Math"/>
          <w:sz w:val="24"/>
          <w:szCs w:val="24"/>
        </w:rPr>
        <w:t>𝑠𝑝𝑟𝑒𝑎𝑑</w:t>
      </w:r>
      <w:r w:rsidR="00A076A2" w:rsidRPr="00A076A2">
        <w:rPr>
          <w:rFonts w:ascii="Times New Roman" w:hAnsi="Times New Roman" w:cs="Times New Roman"/>
          <w:sz w:val="24"/>
          <w:szCs w:val="24"/>
        </w:rPr>
        <w:t>=6,439</w:t>
      </w:r>
      <w:r w:rsidR="00A076A2" w:rsidRPr="00A076A2">
        <w:rPr>
          <w:rFonts w:ascii="Cambria Math" w:hAnsi="Cambria Math" w:cs="Cambria Math"/>
          <w:sz w:val="24"/>
          <w:szCs w:val="24"/>
        </w:rPr>
        <w:t>∗</w:t>
      </w:r>
      <w:r w:rsidR="00A076A2" w:rsidRPr="00A076A2">
        <w:rPr>
          <w:rFonts w:ascii="Times New Roman" w:hAnsi="Times New Roman" w:cs="Times New Roman"/>
          <w:sz w:val="24"/>
          <w:szCs w:val="24"/>
        </w:rPr>
        <w:t>ln(</w:t>
      </w:r>
      <w:r w:rsidR="00A076A2" w:rsidRPr="00A076A2">
        <w:rPr>
          <w:rFonts w:ascii="Cambria Math" w:hAnsi="Cambria Math" w:cs="Cambria Math"/>
          <w:sz w:val="24"/>
          <w:szCs w:val="24"/>
        </w:rPr>
        <w:t>𝐸𝑚𝑖𝑠𝑠𝑖𝑜𝑛𝑠</w:t>
      </w:r>
      <w:r w:rsidR="00A076A2" w:rsidRPr="00A076A2">
        <w:rPr>
          <w:rFonts w:ascii="Times New Roman" w:hAnsi="Times New Roman" w:cs="Times New Roman"/>
          <w:sz w:val="24"/>
          <w:szCs w:val="24"/>
        </w:rPr>
        <w:t>)−8,996</w:t>
      </w:r>
      <w:r w:rsidR="00A076A2" w:rsidRPr="00A076A2">
        <w:rPr>
          <w:rFonts w:ascii="Cambria Math" w:hAnsi="Cambria Math" w:cs="Cambria Math"/>
          <w:sz w:val="24"/>
          <w:szCs w:val="24"/>
        </w:rPr>
        <w:t>∗𝑅𝑎𝑡𝑖𝑛𝑔</w:t>
      </w:r>
      <w:r w:rsidR="006A63B7">
        <w:rPr>
          <w:rFonts w:ascii="Cambria Math" w:hAnsi="Cambria Math" w:cs="Cambria Math"/>
          <w:sz w:val="24"/>
          <w:szCs w:val="24"/>
        </w:rPr>
        <w:t>.</w:t>
      </w:r>
      <w:r>
        <w:rPr>
          <w:rFonts w:ascii="Cambria Math" w:hAnsi="Cambria Math" w:cs="Cambria Math"/>
          <w:sz w:val="24"/>
          <w:szCs w:val="24"/>
        </w:rPr>
        <w:t xml:space="preserve"> Таким образом, </w:t>
      </w:r>
      <w:r w:rsidR="006A63B7">
        <w:rPr>
          <w:rFonts w:ascii="Times New Roman" w:hAnsi="Times New Roman" w:cs="Times New Roman"/>
          <w:sz w:val="24"/>
          <w:szCs w:val="24"/>
        </w:rPr>
        <w:t>п</w:t>
      </w:r>
      <w:r w:rsidR="006A63B7" w:rsidRPr="00261E0A">
        <w:rPr>
          <w:rFonts w:ascii="Times New Roman" w:hAnsi="Times New Roman" w:cs="Times New Roman"/>
          <w:sz w:val="24"/>
          <w:szCs w:val="24"/>
        </w:rPr>
        <w:t xml:space="preserve">ри увеличении объема эмиссии на </w:t>
      </w:r>
      <w:r w:rsidR="006A63B7">
        <w:rPr>
          <w:rFonts w:ascii="Times New Roman" w:hAnsi="Times New Roman" w:cs="Times New Roman"/>
          <w:sz w:val="24"/>
          <w:szCs w:val="24"/>
        </w:rPr>
        <w:t>1% спред увеличивается на 0,06%, а также п</w:t>
      </w:r>
      <w:r w:rsidR="006A63B7" w:rsidRPr="00261E0A">
        <w:rPr>
          <w:rFonts w:ascii="Times New Roman" w:hAnsi="Times New Roman" w:cs="Times New Roman"/>
          <w:sz w:val="24"/>
          <w:szCs w:val="24"/>
        </w:rPr>
        <w:t>ри увеличении рейтинга на 1 уровень спред уменьшается на 9 базисных пунктов или 0,09%</w:t>
      </w:r>
      <w:r w:rsidR="006A63B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CEB1430" w14:textId="704B19E3" w:rsidR="00261E0A" w:rsidRDefault="00B57203" w:rsidP="00B5720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модели 2</w:t>
      </w:r>
      <w:r w:rsidR="006A63B7">
        <w:rPr>
          <w:rFonts w:ascii="Times New Roman" w:hAnsi="Times New Roman" w:cs="Times New Roman"/>
          <w:sz w:val="24"/>
          <w:szCs w:val="24"/>
        </w:rPr>
        <w:t xml:space="preserve"> устойчивого развития зависимой переменной является темп роста ВВП, который </w:t>
      </w:r>
      <w:r w:rsidR="006A63B7" w:rsidRPr="00BC02BC">
        <w:rPr>
          <w:rFonts w:ascii="Times New Roman" w:hAnsi="Times New Roman" w:cs="Times New Roman"/>
          <w:sz w:val="24"/>
          <w:szCs w:val="24"/>
        </w:rPr>
        <w:t>отражает деловую активность, развитие экономики государства, а также стадию экономического цикла</w:t>
      </w:r>
      <w:r w:rsidR="006A63B7">
        <w:rPr>
          <w:rFonts w:ascii="Times New Roman" w:hAnsi="Times New Roman" w:cs="Times New Roman"/>
          <w:sz w:val="24"/>
          <w:szCs w:val="24"/>
        </w:rPr>
        <w:t xml:space="preserve">. Факторами, которые проверялись на значимость, были: кредитные спреды, цена на нефть, курс рубля, ключевая ставка, торговый баланс. Значимыми оказались кредитные спреды, ключевая ставка и цена на нефть. </w:t>
      </w:r>
      <w:r w:rsidR="00A076A2">
        <w:rPr>
          <w:rFonts w:ascii="Cambria Math" w:hAnsi="Cambria Math" w:cs="Cambria Math"/>
          <w:sz w:val="24"/>
          <w:szCs w:val="24"/>
        </w:rPr>
        <w:t>Уравнение модели 2:</w:t>
      </w:r>
      <w:r w:rsidR="006A63B7">
        <w:rPr>
          <w:rFonts w:ascii="Cambria Math" w:hAnsi="Cambria Math" w:cs="Cambria Math"/>
          <w:sz w:val="24"/>
          <w:szCs w:val="24"/>
        </w:rPr>
        <w:t xml:space="preserve"> </w:t>
      </w:r>
      <w:r w:rsidR="006A63B7" w:rsidRPr="006A63B7">
        <w:rPr>
          <w:rFonts w:ascii="Cambria Math" w:hAnsi="Cambria Math" w:cs="Cambria Math"/>
          <w:sz w:val="24"/>
          <w:szCs w:val="24"/>
        </w:rPr>
        <w:t>GDP =0,107∗(𝐺−𝑠𝑝𝑟𝑒𝑎𝑑) +</w:t>
      </w:r>
      <w:r w:rsidR="006A63B7">
        <w:rPr>
          <w:rFonts w:ascii="Cambria Math" w:hAnsi="Cambria Math" w:cs="Cambria Math"/>
          <w:sz w:val="24"/>
          <w:szCs w:val="24"/>
        </w:rPr>
        <w:t>35,029∗ln</w:t>
      </w:r>
      <w:r w:rsidR="006A63B7" w:rsidRPr="006A63B7">
        <w:rPr>
          <w:rFonts w:ascii="Cambria Math" w:hAnsi="Cambria Math" w:cs="Cambria Math"/>
          <w:sz w:val="24"/>
          <w:szCs w:val="24"/>
        </w:rPr>
        <w:t xml:space="preserve"> (𝐾𝑒𝑦 𝑟𝑎𝑡𝑒) −0,545∗𝑂𝑖𝑙</w:t>
      </w:r>
      <w:r w:rsidR="006A63B7">
        <w:rPr>
          <w:rFonts w:ascii="Cambria Math" w:hAnsi="Cambria Math" w:cs="Cambria Math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Таким образом,</w:t>
      </w:r>
      <w:r w:rsidR="00261E0A" w:rsidRPr="00261E0A">
        <w:rPr>
          <w:rFonts w:ascii="Times New Roman" w:hAnsi="Times New Roman" w:cs="Times New Roman"/>
          <w:sz w:val="24"/>
          <w:szCs w:val="24"/>
        </w:rPr>
        <w:t xml:space="preserve"> </w:t>
      </w:r>
      <w:r w:rsidR="00261E0A">
        <w:rPr>
          <w:rFonts w:ascii="Times New Roman" w:hAnsi="Times New Roman" w:cs="Times New Roman"/>
          <w:sz w:val="24"/>
          <w:szCs w:val="24"/>
        </w:rPr>
        <w:t>п</w:t>
      </w:r>
      <w:r w:rsidR="00261E0A" w:rsidRPr="00261E0A">
        <w:rPr>
          <w:rFonts w:ascii="Times New Roman" w:hAnsi="Times New Roman" w:cs="Times New Roman"/>
          <w:sz w:val="24"/>
          <w:szCs w:val="24"/>
        </w:rPr>
        <w:t>ри увеличении спреда на 1 базисный пу</w:t>
      </w:r>
      <w:r w:rsidR="00261E0A">
        <w:rPr>
          <w:rFonts w:ascii="Times New Roman" w:hAnsi="Times New Roman" w:cs="Times New Roman"/>
          <w:sz w:val="24"/>
          <w:szCs w:val="24"/>
        </w:rPr>
        <w:t>нкт ВВП увеличивается на 0,107%, п</w:t>
      </w:r>
      <w:r w:rsidR="00261E0A" w:rsidRPr="00261E0A">
        <w:rPr>
          <w:rFonts w:ascii="Times New Roman" w:hAnsi="Times New Roman" w:cs="Times New Roman"/>
          <w:sz w:val="24"/>
          <w:szCs w:val="24"/>
        </w:rPr>
        <w:t>ри увеличении ключевой ставки н</w:t>
      </w:r>
      <w:r w:rsidR="00261E0A">
        <w:rPr>
          <w:rFonts w:ascii="Times New Roman" w:hAnsi="Times New Roman" w:cs="Times New Roman"/>
          <w:sz w:val="24"/>
          <w:szCs w:val="24"/>
        </w:rPr>
        <w:t>а 1% ВВП увеличивается на 0,35%, а также п</w:t>
      </w:r>
      <w:r w:rsidR="00261E0A" w:rsidRPr="00261E0A">
        <w:rPr>
          <w:rFonts w:ascii="Times New Roman" w:hAnsi="Times New Roman" w:cs="Times New Roman"/>
          <w:sz w:val="24"/>
          <w:szCs w:val="24"/>
        </w:rPr>
        <w:t>ри увеличении цены на нефть на 1 рубль ВВП увеличивается на 0,545%.</w:t>
      </w:r>
    </w:p>
    <w:p w14:paraId="1605169A" w14:textId="54305958" w:rsidR="00BB0178" w:rsidRDefault="00FD6AFC" w:rsidP="00D92D7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Итого</w:t>
      </w:r>
      <w:r w:rsidR="00BB0178">
        <w:rPr>
          <w:rFonts w:ascii="Times New Roman" w:hAnsi="Times New Roman" w:cs="Times New Roman"/>
          <w:sz w:val="24"/>
          <w:szCs w:val="24"/>
        </w:rPr>
        <w:t xml:space="preserve">, </w:t>
      </w:r>
      <w:r w:rsidR="00BB0178" w:rsidRPr="00261E0A">
        <w:rPr>
          <w:rFonts w:ascii="Times New Roman" w:hAnsi="Times New Roman" w:cs="Times New Roman"/>
          <w:sz w:val="24"/>
          <w:szCs w:val="24"/>
        </w:rPr>
        <w:t>инвесторы при учете своей инвестиционной стратегии обращают внимание на об</w:t>
      </w:r>
      <w:r w:rsidR="00BB0178">
        <w:rPr>
          <w:rFonts w:ascii="Times New Roman" w:hAnsi="Times New Roman" w:cs="Times New Roman"/>
          <w:sz w:val="24"/>
          <w:szCs w:val="24"/>
        </w:rPr>
        <w:t xml:space="preserve">ъем выпуска и кредитный рейтинг. </w:t>
      </w:r>
      <w:r w:rsidR="00BB0178" w:rsidRPr="00261E0A">
        <w:rPr>
          <w:rFonts w:ascii="Times New Roman" w:hAnsi="Times New Roman" w:cs="Times New Roman"/>
          <w:sz w:val="24"/>
          <w:szCs w:val="24"/>
        </w:rPr>
        <w:t xml:space="preserve">При росте объема эмиссии инвесторы </w:t>
      </w:r>
      <w:r w:rsidR="00BB0178">
        <w:rPr>
          <w:rFonts w:ascii="Times New Roman" w:hAnsi="Times New Roman" w:cs="Times New Roman"/>
          <w:sz w:val="24"/>
          <w:szCs w:val="24"/>
        </w:rPr>
        <w:t>требуют дополнительную премию за риск</w:t>
      </w:r>
      <w:r w:rsidR="00BB0178" w:rsidRPr="00261E0A">
        <w:rPr>
          <w:rFonts w:ascii="Times New Roman" w:hAnsi="Times New Roman" w:cs="Times New Roman"/>
          <w:sz w:val="24"/>
          <w:szCs w:val="24"/>
        </w:rPr>
        <w:t xml:space="preserve">, так как </w:t>
      </w:r>
      <w:r w:rsidR="00BB0178">
        <w:rPr>
          <w:rFonts w:ascii="Times New Roman" w:hAnsi="Times New Roman" w:cs="Times New Roman"/>
          <w:sz w:val="24"/>
          <w:szCs w:val="24"/>
        </w:rPr>
        <w:t>увеличение объемов обязательств повышае</w:t>
      </w:r>
      <w:r w:rsidR="00BB0178" w:rsidRPr="00261E0A">
        <w:rPr>
          <w:rFonts w:ascii="Times New Roman" w:hAnsi="Times New Roman" w:cs="Times New Roman"/>
          <w:sz w:val="24"/>
          <w:szCs w:val="24"/>
        </w:rPr>
        <w:t>т кредитные риски региона. Данные результаты требуют дополнительного исследования финансо</w:t>
      </w:r>
      <w:r w:rsidR="00BB0178">
        <w:rPr>
          <w:rFonts w:ascii="Times New Roman" w:hAnsi="Times New Roman" w:cs="Times New Roman"/>
          <w:sz w:val="24"/>
          <w:szCs w:val="24"/>
        </w:rPr>
        <w:t xml:space="preserve">вого состояния региона-эмитента. </w:t>
      </w:r>
      <w:r w:rsidR="00BB0178" w:rsidRPr="00261E0A">
        <w:rPr>
          <w:rFonts w:ascii="Times New Roman" w:hAnsi="Times New Roman" w:cs="Times New Roman"/>
          <w:sz w:val="24"/>
          <w:szCs w:val="24"/>
        </w:rPr>
        <w:t xml:space="preserve">При хорошем кредитном рейтинге инвесторы </w:t>
      </w:r>
      <w:r w:rsidR="00BB0178">
        <w:rPr>
          <w:rFonts w:ascii="Times New Roman" w:hAnsi="Times New Roman" w:cs="Times New Roman"/>
          <w:sz w:val="24"/>
          <w:szCs w:val="24"/>
        </w:rPr>
        <w:t>готовы</w:t>
      </w:r>
      <w:r w:rsidR="00BB0178" w:rsidRPr="00261E0A">
        <w:rPr>
          <w:rFonts w:ascii="Times New Roman" w:hAnsi="Times New Roman" w:cs="Times New Roman"/>
          <w:sz w:val="24"/>
          <w:szCs w:val="24"/>
        </w:rPr>
        <w:t xml:space="preserve"> на меньшую доходность</w:t>
      </w:r>
      <w:r w:rsidR="00BB0178">
        <w:rPr>
          <w:rFonts w:ascii="Times New Roman" w:hAnsi="Times New Roman" w:cs="Times New Roman"/>
          <w:sz w:val="24"/>
          <w:szCs w:val="24"/>
        </w:rPr>
        <w:t>.</w:t>
      </w:r>
      <w:r w:rsidR="00D92D7B">
        <w:rPr>
          <w:rFonts w:ascii="Times New Roman" w:hAnsi="Times New Roman" w:cs="Times New Roman"/>
          <w:sz w:val="24"/>
          <w:szCs w:val="24"/>
        </w:rPr>
        <w:t xml:space="preserve"> В</w:t>
      </w:r>
      <w:r w:rsidR="00BB0178" w:rsidRPr="00BB0178">
        <w:rPr>
          <w:rFonts w:ascii="Times New Roman" w:hAnsi="Times New Roman" w:cs="Times New Roman"/>
          <w:sz w:val="24"/>
          <w:szCs w:val="24"/>
        </w:rPr>
        <w:t xml:space="preserve"> результате анализа множества факторных моделей выяснилось, что кредитные спреды по региональным облигациям </w:t>
      </w:r>
      <w:r w:rsidR="00BA5C9B">
        <w:rPr>
          <w:rFonts w:ascii="Times New Roman" w:hAnsi="Times New Roman" w:cs="Times New Roman"/>
          <w:sz w:val="24"/>
          <w:szCs w:val="24"/>
        </w:rPr>
        <w:t>обеспечивают устойчивое развитие страны</w:t>
      </w:r>
      <w:r w:rsidR="00BB0178">
        <w:rPr>
          <w:rFonts w:ascii="Times New Roman" w:hAnsi="Times New Roman" w:cs="Times New Roman"/>
          <w:sz w:val="24"/>
          <w:szCs w:val="24"/>
        </w:rPr>
        <w:t xml:space="preserve"> (то есть роста ВВП). Также, вместе с кредитными спредами</w:t>
      </w:r>
      <w:r w:rsidR="00BB0178" w:rsidRPr="00BB0178">
        <w:rPr>
          <w:rFonts w:ascii="Times New Roman" w:hAnsi="Times New Roman" w:cs="Times New Roman"/>
          <w:sz w:val="24"/>
          <w:szCs w:val="24"/>
        </w:rPr>
        <w:t xml:space="preserve">, значимыми факторами </w:t>
      </w:r>
      <w:r w:rsidR="00BB0178">
        <w:rPr>
          <w:rFonts w:ascii="Times New Roman" w:hAnsi="Times New Roman" w:cs="Times New Roman"/>
          <w:sz w:val="24"/>
          <w:szCs w:val="24"/>
        </w:rPr>
        <w:t xml:space="preserve">в модели устойчивого развития </w:t>
      </w:r>
      <w:r w:rsidR="00BB0178" w:rsidRPr="00BB0178">
        <w:rPr>
          <w:rFonts w:ascii="Times New Roman" w:hAnsi="Times New Roman" w:cs="Times New Roman"/>
          <w:sz w:val="24"/>
          <w:szCs w:val="24"/>
        </w:rPr>
        <w:t>оказались ключевая ставка и цены на нефть</w:t>
      </w:r>
      <w:r w:rsidR="00BB0178">
        <w:rPr>
          <w:rFonts w:ascii="Times New Roman" w:hAnsi="Times New Roman" w:cs="Times New Roman"/>
          <w:sz w:val="24"/>
          <w:szCs w:val="24"/>
        </w:rPr>
        <w:t>.</w:t>
      </w:r>
      <w:r w:rsidR="00BB0178" w:rsidRPr="00BB0178">
        <w:rPr>
          <w:rFonts w:ascii="Times New Roman" w:hAnsi="Times New Roman" w:cs="Times New Roman"/>
          <w:sz w:val="24"/>
          <w:szCs w:val="24"/>
        </w:rPr>
        <w:t xml:space="preserve"> </w:t>
      </w:r>
      <w:r w:rsidR="00BB0178">
        <w:rPr>
          <w:rFonts w:ascii="Times New Roman" w:hAnsi="Times New Roman" w:cs="Times New Roman"/>
          <w:sz w:val="24"/>
          <w:szCs w:val="24"/>
        </w:rPr>
        <w:t>Д</w:t>
      </w:r>
      <w:r w:rsidR="00BB0178" w:rsidRPr="00BB0178">
        <w:rPr>
          <w:rFonts w:ascii="Times New Roman" w:hAnsi="Times New Roman" w:cs="Times New Roman"/>
          <w:sz w:val="24"/>
          <w:szCs w:val="24"/>
        </w:rPr>
        <w:t>анные результаты также требуют дополнительного исследования вклада отдельных регионов-эмитентов в общий результат</w:t>
      </w:r>
      <w:r w:rsidR="00BB0178">
        <w:rPr>
          <w:rFonts w:ascii="Times New Roman" w:hAnsi="Times New Roman" w:cs="Times New Roman"/>
          <w:sz w:val="24"/>
          <w:szCs w:val="24"/>
        </w:rPr>
        <w:t>.</w:t>
      </w:r>
      <w:r w:rsidR="00D92D7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D8471E" w14:textId="551F4839" w:rsidR="00603977" w:rsidRDefault="00603977" w:rsidP="00D92D7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Ввиду результатов исследования по обеим моделям рекомендуется покупать региональные облигации инвесторам. Во-первых, покупка обеспечивает высокую доходность и скорость возврата инвестиций при низких рисках относительно других видов облигаций. Во-вторых, они являются значимыми в </w:t>
      </w:r>
      <w:r w:rsidR="00073ABF">
        <w:rPr>
          <w:rFonts w:ascii="Times New Roman" w:hAnsi="Times New Roman" w:cs="Times New Roman"/>
          <w:sz w:val="24"/>
          <w:szCs w:val="24"/>
        </w:rPr>
        <w:t>модели роста ВВП страны</w:t>
      </w:r>
      <w:r w:rsidR="00031454">
        <w:rPr>
          <w:rFonts w:ascii="Times New Roman" w:hAnsi="Times New Roman" w:cs="Times New Roman"/>
          <w:sz w:val="24"/>
          <w:szCs w:val="24"/>
        </w:rPr>
        <w:t>: увеличение премии за риск влечет рост ВВП.</w:t>
      </w:r>
    </w:p>
    <w:p w14:paraId="2C22A4C0" w14:textId="4F2B9403" w:rsidR="00171FFB" w:rsidRPr="00085254" w:rsidRDefault="00171FFB" w:rsidP="00D92D7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Список литературы:</w:t>
      </w:r>
    </w:p>
    <w:p w14:paraId="522957DA" w14:textId="386C1058" w:rsidR="00171FFB" w:rsidRDefault="00171FFB" w:rsidP="003969E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69EF">
        <w:rPr>
          <w:rFonts w:ascii="Times New Roman" w:hAnsi="Times New Roman" w:cs="Times New Roman"/>
          <w:sz w:val="24"/>
          <w:szCs w:val="24"/>
        </w:rPr>
        <w:t xml:space="preserve">Ерофеева Т.М. Исследование факторов и построение модели прогнозирования спреда доходности корпоративных облигаций на российском рынке // Финансы и бизнес. -  </w:t>
      </w:r>
      <w:r w:rsidR="003969EF">
        <w:rPr>
          <w:rFonts w:ascii="Times New Roman" w:hAnsi="Times New Roman" w:cs="Times New Roman"/>
          <w:sz w:val="24"/>
          <w:szCs w:val="24"/>
        </w:rPr>
        <w:t>2019. - №4. - Т. 15. – С. 81-10.</w:t>
      </w:r>
    </w:p>
    <w:p w14:paraId="61DD7AC2" w14:textId="564C241C" w:rsidR="003969EF" w:rsidRPr="003969EF" w:rsidRDefault="003969EF" w:rsidP="003969E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69EF">
        <w:rPr>
          <w:rFonts w:ascii="Times New Roman" w:hAnsi="Times New Roman" w:cs="Times New Roman"/>
          <w:sz w:val="24"/>
          <w:szCs w:val="24"/>
        </w:rPr>
        <w:t xml:space="preserve">Корень А.В. Рубцова Н.В. Повышение эффективности управления инвестиционным портфелем на основе современных методов диверсификации // Вестник Академии знаний. – 2023. - №. 50 (2). - С. 327-332. </w:t>
      </w:r>
    </w:p>
    <w:p w14:paraId="5C40CE69" w14:textId="421234D7" w:rsidR="0020195C" w:rsidRPr="003969EF" w:rsidRDefault="00171FFB" w:rsidP="003969E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969EF">
        <w:rPr>
          <w:rFonts w:ascii="Times New Roman" w:hAnsi="Times New Roman" w:cs="Times New Roman"/>
          <w:sz w:val="24"/>
          <w:szCs w:val="24"/>
        </w:rPr>
        <w:t xml:space="preserve">Остапенко А.Е., </w:t>
      </w:r>
      <w:proofErr w:type="spellStart"/>
      <w:r w:rsidRPr="003969EF">
        <w:rPr>
          <w:rFonts w:ascii="Times New Roman" w:hAnsi="Times New Roman" w:cs="Times New Roman"/>
          <w:sz w:val="24"/>
          <w:szCs w:val="24"/>
        </w:rPr>
        <w:t>Ряйсянен</w:t>
      </w:r>
      <w:proofErr w:type="spellEnd"/>
      <w:r w:rsidRPr="003969EF">
        <w:rPr>
          <w:rFonts w:ascii="Times New Roman" w:hAnsi="Times New Roman" w:cs="Times New Roman"/>
          <w:sz w:val="24"/>
          <w:szCs w:val="24"/>
        </w:rPr>
        <w:t xml:space="preserve"> Т.Н., </w:t>
      </w:r>
      <w:proofErr w:type="spellStart"/>
      <w:r w:rsidRPr="003969EF">
        <w:rPr>
          <w:rFonts w:ascii="Times New Roman" w:hAnsi="Times New Roman" w:cs="Times New Roman"/>
          <w:sz w:val="24"/>
          <w:szCs w:val="24"/>
        </w:rPr>
        <w:t>Уленгова</w:t>
      </w:r>
      <w:proofErr w:type="spellEnd"/>
      <w:r w:rsidRPr="003969EF">
        <w:rPr>
          <w:rFonts w:ascii="Times New Roman" w:hAnsi="Times New Roman" w:cs="Times New Roman"/>
          <w:sz w:val="24"/>
          <w:szCs w:val="24"/>
        </w:rPr>
        <w:t xml:space="preserve"> Т.Г. Значение корреляционных зависимостей в составлении диверсифицированного инвестиционного портфеля // Инновации и Инвестиции. - 2022. - №. </w:t>
      </w:r>
      <w:r w:rsidRPr="003969EF">
        <w:rPr>
          <w:rFonts w:ascii="Times New Roman" w:hAnsi="Times New Roman" w:cs="Times New Roman"/>
          <w:sz w:val="24"/>
          <w:szCs w:val="24"/>
          <w:lang w:val="en-US"/>
        </w:rPr>
        <w:t xml:space="preserve">4. - </w:t>
      </w:r>
      <w:r w:rsidRPr="003969EF">
        <w:rPr>
          <w:rFonts w:ascii="Times New Roman" w:hAnsi="Times New Roman" w:cs="Times New Roman"/>
          <w:sz w:val="24"/>
          <w:szCs w:val="24"/>
        </w:rPr>
        <w:t>С</w:t>
      </w:r>
      <w:r w:rsidRPr="003969EF">
        <w:rPr>
          <w:rFonts w:ascii="Times New Roman" w:hAnsi="Times New Roman" w:cs="Times New Roman"/>
          <w:sz w:val="24"/>
          <w:szCs w:val="24"/>
          <w:lang w:val="en-US"/>
        </w:rPr>
        <w:t>. 24-27</w:t>
      </w:r>
      <w:r w:rsidR="003969E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44413A7" w14:textId="77777777" w:rsidR="003969EF" w:rsidRPr="003969EF" w:rsidRDefault="003969EF" w:rsidP="003969E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969EF">
        <w:rPr>
          <w:rFonts w:ascii="Times New Roman" w:hAnsi="Times New Roman" w:cs="Times New Roman"/>
          <w:sz w:val="24"/>
          <w:szCs w:val="24"/>
          <w:lang w:val="en-US"/>
        </w:rPr>
        <w:t>Bianchi, D., M. Büchner, and A. Tamoni. (2021). “Bond risk premiums with machine learning”. The Review of Financial Studies. 34(2): 1046–1089.</w:t>
      </w:r>
    </w:p>
    <w:p w14:paraId="72B2E2EE" w14:textId="4F8200CF" w:rsidR="003969EF" w:rsidRDefault="003969EF" w:rsidP="003969E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69EF">
        <w:rPr>
          <w:rFonts w:ascii="Times New Roman" w:hAnsi="Times New Roman" w:cs="Times New Roman"/>
          <w:sz w:val="24"/>
          <w:szCs w:val="24"/>
          <w:lang w:val="en-US"/>
        </w:rPr>
        <w:t xml:space="preserve">Ludvigson, S. C. and S. Ng. (2007). “The empirical risk–return relation: A factor analysis approach”. </w:t>
      </w:r>
      <w:proofErr w:type="spellStart"/>
      <w:r w:rsidRPr="003969EF">
        <w:rPr>
          <w:rFonts w:ascii="Times New Roman" w:hAnsi="Times New Roman" w:cs="Times New Roman"/>
          <w:sz w:val="24"/>
          <w:szCs w:val="24"/>
        </w:rPr>
        <w:t>Journal</w:t>
      </w:r>
      <w:proofErr w:type="spellEnd"/>
      <w:r w:rsidRPr="003969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969EF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969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969EF">
        <w:rPr>
          <w:rFonts w:ascii="Times New Roman" w:hAnsi="Times New Roman" w:cs="Times New Roman"/>
          <w:sz w:val="24"/>
          <w:szCs w:val="24"/>
        </w:rPr>
        <w:t>Financial</w:t>
      </w:r>
      <w:proofErr w:type="spellEnd"/>
      <w:r w:rsidRPr="003969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969EF">
        <w:rPr>
          <w:rFonts w:ascii="Times New Roman" w:hAnsi="Times New Roman" w:cs="Times New Roman"/>
          <w:sz w:val="24"/>
          <w:szCs w:val="24"/>
        </w:rPr>
        <w:t>Economics</w:t>
      </w:r>
      <w:proofErr w:type="spellEnd"/>
      <w:r w:rsidRPr="003969EF">
        <w:rPr>
          <w:rFonts w:ascii="Times New Roman" w:hAnsi="Times New Roman" w:cs="Times New Roman"/>
          <w:sz w:val="24"/>
          <w:szCs w:val="24"/>
        </w:rPr>
        <w:t>. 83(1): 171–222.</w:t>
      </w:r>
    </w:p>
    <w:p w14:paraId="4965E3D5" w14:textId="2F7160CD" w:rsidR="003969EF" w:rsidRPr="003969EF" w:rsidRDefault="003969EF" w:rsidP="003969EF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969EF">
        <w:rPr>
          <w:rFonts w:ascii="Times New Roman" w:hAnsi="Times New Roman" w:cs="Times New Roman"/>
          <w:sz w:val="24"/>
          <w:szCs w:val="24"/>
          <w:lang w:val="en-US"/>
        </w:rPr>
        <w:t xml:space="preserve">Guo, Biao and Guo, Biao and </w:t>
      </w:r>
      <w:proofErr w:type="spellStart"/>
      <w:r w:rsidRPr="003969EF">
        <w:rPr>
          <w:rFonts w:ascii="Times New Roman" w:hAnsi="Times New Roman" w:cs="Times New Roman"/>
          <w:sz w:val="24"/>
          <w:szCs w:val="24"/>
          <w:lang w:val="en-US"/>
        </w:rPr>
        <w:t>wang</w:t>
      </w:r>
      <w:proofErr w:type="spellEnd"/>
      <w:r w:rsidRPr="003969E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3969EF">
        <w:rPr>
          <w:rFonts w:ascii="Times New Roman" w:hAnsi="Times New Roman" w:cs="Times New Roman"/>
          <w:sz w:val="24"/>
          <w:szCs w:val="24"/>
          <w:lang w:val="en-US"/>
        </w:rPr>
        <w:t>songtao</w:t>
      </w:r>
      <w:proofErr w:type="spellEnd"/>
      <w:r w:rsidRPr="003969EF">
        <w:rPr>
          <w:rFonts w:ascii="Times New Roman" w:hAnsi="Times New Roman" w:cs="Times New Roman"/>
          <w:sz w:val="24"/>
          <w:szCs w:val="24"/>
          <w:lang w:val="en-US"/>
        </w:rPr>
        <w:t>, Macro Factors in Corporate Bond Credit and Liquidity Spreads (September 7, 2018). Available at SSRN: https://ssrn.com/abstract=3306027 or http://dx.doi.org/10.2139/ssrn.3306027</w:t>
      </w:r>
    </w:p>
    <w:bookmarkEnd w:id="0"/>
    <w:p w14:paraId="1F88E427" w14:textId="77777777" w:rsidR="00FD4634" w:rsidRPr="003969EF" w:rsidRDefault="00FD4634">
      <w:pPr>
        <w:rPr>
          <w:lang w:val="en-US"/>
        </w:rPr>
      </w:pPr>
    </w:p>
    <w:sectPr w:rsidR="00FD4634" w:rsidRPr="003969EF" w:rsidSect="00721A70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BD180C"/>
    <w:multiLevelType w:val="hybridMultilevel"/>
    <w:tmpl w:val="52C489A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0CB"/>
    <w:rsid w:val="00031454"/>
    <w:rsid w:val="00073ABF"/>
    <w:rsid w:val="00085254"/>
    <w:rsid w:val="000C06E3"/>
    <w:rsid w:val="000C6BD7"/>
    <w:rsid w:val="00171FFB"/>
    <w:rsid w:val="001A6F8C"/>
    <w:rsid w:val="0020195C"/>
    <w:rsid w:val="00261E0A"/>
    <w:rsid w:val="003131E9"/>
    <w:rsid w:val="00327DAE"/>
    <w:rsid w:val="003478EC"/>
    <w:rsid w:val="003969EF"/>
    <w:rsid w:val="003B0A27"/>
    <w:rsid w:val="003D60CB"/>
    <w:rsid w:val="00552595"/>
    <w:rsid w:val="005E044D"/>
    <w:rsid w:val="00600FDD"/>
    <w:rsid w:val="00603977"/>
    <w:rsid w:val="00693629"/>
    <w:rsid w:val="006A63B7"/>
    <w:rsid w:val="00704CA5"/>
    <w:rsid w:val="00721A70"/>
    <w:rsid w:val="00731A3D"/>
    <w:rsid w:val="00794878"/>
    <w:rsid w:val="008B57FE"/>
    <w:rsid w:val="009010DA"/>
    <w:rsid w:val="00914E4E"/>
    <w:rsid w:val="00A076A2"/>
    <w:rsid w:val="00A15E13"/>
    <w:rsid w:val="00A97C52"/>
    <w:rsid w:val="00AB01AB"/>
    <w:rsid w:val="00AD305F"/>
    <w:rsid w:val="00B57203"/>
    <w:rsid w:val="00BA5C9B"/>
    <w:rsid w:val="00BB0178"/>
    <w:rsid w:val="00BC02BC"/>
    <w:rsid w:val="00CC78C3"/>
    <w:rsid w:val="00CE356D"/>
    <w:rsid w:val="00D92D7B"/>
    <w:rsid w:val="00F468AF"/>
    <w:rsid w:val="00FD4634"/>
    <w:rsid w:val="00FD6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85C20A"/>
  <w15:chartTrackingRefBased/>
  <w15:docId w15:val="{09269DDA-1BFC-4665-8BA1-5F39334AD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60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69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850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3793">
          <w:marLeft w:val="691"/>
          <w:marRight w:val="0"/>
          <w:marTop w:val="24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8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20550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60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3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958947">
          <w:marLeft w:val="691"/>
          <w:marRight w:val="0"/>
          <w:marTop w:val="24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38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947900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42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7739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25083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15481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042643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726319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904</Words>
  <Characters>6525</Characters>
  <Application>Microsoft Office Word</Application>
  <DocSecurity>0</DocSecurity>
  <Lines>82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Карамян Анаит Араратовна</dc:creator>
  <cp:keywords/>
  <dc:description/>
  <cp:lastModifiedBy>Unknown Author</cp:lastModifiedBy>
  <cp:revision>2</cp:revision>
  <dcterms:created xsi:type="dcterms:W3CDTF">2024-05-03T18:56:00Z</dcterms:created>
  <dcterms:modified xsi:type="dcterms:W3CDTF">2024-05-03T18:56:00Z</dcterms:modified>
</cp:coreProperties>
</file>