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89D" w:rsidRPr="00781794" w:rsidRDefault="00DE389D" w:rsidP="00DE389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81794">
        <w:rPr>
          <w:rFonts w:ascii="Times New Roman" w:hAnsi="Times New Roman" w:cs="Times New Roman"/>
          <w:b/>
          <w:sz w:val="24"/>
          <w:szCs w:val="24"/>
        </w:rPr>
        <w:t>Трифонова Е.Н.</w:t>
      </w:r>
      <w:r w:rsidRPr="00781794">
        <w:rPr>
          <w:rFonts w:ascii="Times New Roman" w:hAnsi="Times New Roman" w:cs="Times New Roman"/>
          <w:b/>
          <w:sz w:val="24"/>
          <w:szCs w:val="24"/>
          <w:vertAlign w:val="superscript"/>
        </w:rPr>
        <w:footnoteReference w:id="1"/>
      </w:r>
    </w:p>
    <w:p w:rsidR="00EC6CBA" w:rsidRDefault="00EC6CBA" w:rsidP="00DE38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389D" w:rsidRPr="000E172A" w:rsidRDefault="000E172A" w:rsidP="00DE389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ПЕРСПЕКТИВЫ РАЗВИТИЯ ПИЩЕВОЙ ПРОМЫШЛЕННОСТИ РОССИИ В УСЛОВИЯХ СОВРЕМЕННЫХ ГЛОБАЛЬНЫХ ВЫЗОВОВ</w:t>
      </w:r>
    </w:p>
    <w:p w:rsidR="004A6818" w:rsidRPr="00D02306" w:rsidRDefault="004A6818" w:rsidP="00B178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6818" w:rsidRPr="00E3023E" w:rsidRDefault="004A6818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</w:rPr>
      </w:pPr>
      <w:r w:rsidRPr="00942BE0">
        <w:rPr>
          <w:rFonts w:ascii="Times New Roman" w:hAnsi="Times New Roman" w:cs="Times New Roman"/>
          <w:b/>
        </w:rPr>
        <w:t>Аннотация</w:t>
      </w:r>
      <w:r w:rsidRPr="00942BE0">
        <w:rPr>
          <w:rFonts w:ascii="Times New Roman" w:hAnsi="Times New Roman" w:cs="Times New Roman"/>
        </w:rPr>
        <w:t>:</w:t>
      </w:r>
      <w:r w:rsidR="00FF43B9">
        <w:rPr>
          <w:rFonts w:ascii="Times New Roman" w:hAnsi="Times New Roman" w:cs="Times New Roman"/>
        </w:rPr>
        <w:t xml:space="preserve"> </w:t>
      </w:r>
      <w:r w:rsidR="00295CEB">
        <w:rPr>
          <w:rFonts w:ascii="Times New Roman" w:hAnsi="Times New Roman" w:cs="Times New Roman"/>
        </w:rPr>
        <w:t xml:space="preserve">Проанализирована динамика объемов производства в </w:t>
      </w:r>
      <w:proofErr w:type="spellStart"/>
      <w:r w:rsidR="007D7A0E">
        <w:rPr>
          <w:rFonts w:ascii="Times New Roman" w:hAnsi="Times New Roman" w:cs="Times New Roman"/>
        </w:rPr>
        <w:t>пищепроме</w:t>
      </w:r>
      <w:proofErr w:type="spellEnd"/>
      <w:r w:rsidR="00295CEB">
        <w:rPr>
          <w:rFonts w:ascii="Times New Roman" w:hAnsi="Times New Roman" w:cs="Times New Roman"/>
        </w:rPr>
        <w:t xml:space="preserve">, экспорта и импорта продовольствия и </w:t>
      </w:r>
      <w:proofErr w:type="spellStart"/>
      <w:r w:rsidR="00295CEB">
        <w:rPr>
          <w:rFonts w:ascii="Times New Roman" w:hAnsi="Times New Roman" w:cs="Times New Roman"/>
        </w:rPr>
        <w:t>сельхозсырья</w:t>
      </w:r>
      <w:proofErr w:type="spellEnd"/>
      <w:r w:rsidR="00295CEB">
        <w:rPr>
          <w:rFonts w:ascii="Times New Roman" w:hAnsi="Times New Roman" w:cs="Times New Roman"/>
        </w:rPr>
        <w:t xml:space="preserve"> РФ. </w:t>
      </w:r>
      <w:r w:rsidR="007D7A0E">
        <w:rPr>
          <w:rFonts w:ascii="Times New Roman" w:hAnsi="Times New Roman" w:cs="Times New Roman"/>
        </w:rPr>
        <w:t>Построен прогноз на основе регрессионных моделей и сопоставлен с</w:t>
      </w:r>
      <w:r w:rsidR="000A2015">
        <w:rPr>
          <w:rFonts w:ascii="Times New Roman" w:hAnsi="Times New Roman" w:cs="Times New Roman"/>
        </w:rPr>
        <w:t xml:space="preserve"> фактически</w:t>
      </w:r>
      <w:r w:rsidR="007D7A0E">
        <w:rPr>
          <w:rFonts w:ascii="Times New Roman" w:hAnsi="Times New Roman" w:cs="Times New Roman"/>
        </w:rPr>
        <w:t>ми</w:t>
      </w:r>
      <w:r w:rsidR="000A2015">
        <w:rPr>
          <w:rFonts w:ascii="Times New Roman" w:hAnsi="Times New Roman" w:cs="Times New Roman"/>
        </w:rPr>
        <w:t xml:space="preserve"> </w:t>
      </w:r>
      <w:r w:rsidR="007D7A0E">
        <w:rPr>
          <w:rFonts w:ascii="Times New Roman" w:hAnsi="Times New Roman" w:cs="Times New Roman"/>
        </w:rPr>
        <w:t>показателями</w:t>
      </w:r>
      <w:r w:rsidR="000A2015">
        <w:rPr>
          <w:rFonts w:ascii="Times New Roman" w:hAnsi="Times New Roman" w:cs="Times New Roman"/>
        </w:rPr>
        <w:t>. Уточнены основные перспективные направления развития отрасли с учетом выявленных тенденций.</w:t>
      </w:r>
    </w:p>
    <w:p w:rsidR="00B14549" w:rsidRPr="00BE2FF2" w:rsidRDefault="004A6818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</w:rPr>
      </w:pPr>
      <w:r w:rsidRPr="00942BE0">
        <w:rPr>
          <w:rFonts w:ascii="Times New Roman" w:hAnsi="Times New Roman" w:cs="Times New Roman"/>
          <w:b/>
        </w:rPr>
        <w:t>Ключевые слова</w:t>
      </w:r>
      <w:r w:rsidRPr="00942BE0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="00BE2FF2" w:rsidRPr="00A60256">
        <w:rPr>
          <w:rFonts w:ascii="Times New Roman" w:hAnsi="Times New Roman" w:cs="Times New Roman"/>
          <w:i/>
        </w:rPr>
        <w:t>пищевая и перерабатывающая промышленность, экспорт, импорт, регрессионная модель, новые глобальные вызовы, прогнозирование, государственная поддержка</w:t>
      </w:r>
    </w:p>
    <w:p w:rsidR="004A6818" w:rsidRPr="004A6818" w:rsidRDefault="004A6818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A6818" w:rsidRDefault="00862447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Условия глобальной экономико-политической нестабильности, в которых существует последние несколько лет Россия, диктуют необходимость поиска путей выхода из кризисной ситуации, основанных на </w:t>
      </w:r>
      <w:r w:rsidR="00026CD0">
        <w:rPr>
          <w:rFonts w:ascii="Times New Roman" w:hAnsi="Times New Roman" w:cs="Times New Roman"/>
          <w:sz w:val="24"/>
          <w:szCs w:val="24"/>
        </w:rPr>
        <w:t>формировании</w:t>
      </w:r>
      <w:r w:rsidR="00684AEA">
        <w:rPr>
          <w:rFonts w:ascii="Times New Roman" w:hAnsi="Times New Roman" w:cs="Times New Roman"/>
          <w:sz w:val="24"/>
          <w:szCs w:val="24"/>
        </w:rPr>
        <w:t xml:space="preserve"> комплексной</w:t>
      </w:r>
      <w:r w:rsidR="00026CD0">
        <w:rPr>
          <w:rFonts w:ascii="Times New Roman" w:hAnsi="Times New Roman" w:cs="Times New Roman"/>
          <w:sz w:val="24"/>
          <w:szCs w:val="24"/>
        </w:rPr>
        <w:t xml:space="preserve"> сбалансированной стратегии развития всех отраслей народного хозяйства. </w:t>
      </w:r>
      <w:r w:rsidR="0098114F">
        <w:rPr>
          <w:rFonts w:ascii="Times New Roman" w:hAnsi="Times New Roman" w:cs="Times New Roman"/>
          <w:sz w:val="24"/>
          <w:szCs w:val="24"/>
        </w:rPr>
        <w:t xml:space="preserve">Агропромышленный комплекс страны является одним из стратегически важных </w:t>
      </w:r>
      <w:r w:rsidR="00524416">
        <w:rPr>
          <w:rFonts w:ascii="Times New Roman" w:hAnsi="Times New Roman" w:cs="Times New Roman"/>
          <w:sz w:val="24"/>
          <w:szCs w:val="24"/>
        </w:rPr>
        <w:t xml:space="preserve">звеньев функционирования национальной экономики, поскольку обеспечивает продовольственную независимость государства, как основу национальной безопасности. </w:t>
      </w:r>
      <w:r w:rsidR="00E6283F">
        <w:rPr>
          <w:rFonts w:ascii="Times New Roman" w:hAnsi="Times New Roman" w:cs="Times New Roman"/>
          <w:sz w:val="24"/>
          <w:szCs w:val="24"/>
        </w:rPr>
        <w:t>При этом пищевая и перерабатывающая промышленность рассматривается нами</w:t>
      </w:r>
      <w:r w:rsidR="0072302C">
        <w:rPr>
          <w:rFonts w:ascii="Times New Roman" w:hAnsi="Times New Roman" w:cs="Times New Roman"/>
          <w:sz w:val="24"/>
          <w:szCs w:val="24"/>
        </w:rPr>
        <w:t>,</w:t>
      </w:r>
      <w:r w:rsidR="00E6283F">
        <w:rPr>
          <w:rFonts w:ascii="Times New Roman" w:hAnsi="Times New Roman" w:cs="Times New Roman"/>
          <w:sz w:val="24"/>
          <w:szCs w:val="24"/>
        </w:rPr>
        <w:t xml:space="preserve"> как драйвер развития АПК, поскольку, в определенной степени, стимулирует производство и обеспечивает дальнейшее продвижение продукции смежных отраслей сельского хозяйства. </w:t>
      </w:r>
      <w:r w:rsidR="0072302C">
        <w:rPr>
          <w:rFonts w:ascii="Times New Roman" w:hAnsi="Times New Roman" w:cs="Times New Roman"/>
          <w:sz w:val="24"/>
          <w:szCs w:val="24"/>
        </w:rPr>
        <w:t xml:space="preserve">Выбор стратегических приоритетов развития отраслевых комплексов в сфере переработки </w:t>
      </w:r>
      <w:proofErr w:type="spellStart"/>
      <w:r w:rsidR="0072302C">
        <w:rPr>
          <w:rFonts w:ascii="Times New Roman" w:hAnsi="Times New Roman" w:cs="Times New Roman"/>
          <w:sz w:val="24"/>
          <w:szCs w:val="24"/>
        </w:rPr>
        <w:t>сельхозсырья</w:t>
      </w:r>
      <w:proofErr w:type="spellEnd"/>
      <w:r w:rsidR="0072302C">
        <w:rPr>
          <w:rFonts w:ascii="Times New Roman" w:hAnsi="Times New Roman" w:cs="Times New Roman"/>
          <w:sz w:val="24"/>
          <w:szCs w:val="24"/>
        </w:rPr>
        <w:t xml:space="preserve"> логично обоснован целями, заложенными в Доктрине продовольственной безопасности страны</w:t>
      </w:r>
      <w:r w:rsidR="00DE0219">
        <w:rPr>
          <w:rFonts w:ascii="Times New Roman" w:hAnsi="Times New Roman" w:cs="Times New Roman"/>
          <w:sz w:val="24"/>
          <w:szCs w:val="24"/>
        </w:rPr>
        <w:t xml:space="preserve"> </w:t>
      </w:r>
      <w:r w:rsidR="00DE0219" w:rsidRPr="00DE0219">
        <w:rPr>
          <w:rFonts w:ascii="Times New Roman" w:hAnsi="Times New Roman" w:cs="Times New Roman"/>
          <w:sz w:val="24"/>
          <w:szCs w:val="24"/>
        </w:rPr>
        <w:t>[1]</w:t>
      </w:r>
      <w:r w:rsidR="0072302C">
        <w:rPr>
          <w:rFonts w:ascii="Times New Roman" w:hAnsi="Times New Roman" w:cs="Times New Roman"/>
          <w:sz w:val="24"/>
          <w:szCs w:val="24"/>
        </w:rPr>
        <w:t>, а также в Паспорте Госпрограммы</w:t>
      </w:r>
      <w:r w:rsidR="00DE0219" w:rsidRPr="00DE0219">
        <w:rPr>
          <w:rFonts w:ascii="Times New Roman" w:hAnsi="Times New Roman" w:cs="Times New Roman"/>
          <w:sz w:val="24"/>
          <w:szCs w:val="24"/>
        </w:rPr>
        <w:t xml:space="preserve"> </w:t>
      </w:r>
      <w:r w:rsidR="0072302C" w:rsidRPr="0072302C">
        <w:rPr>
          <w:rFonts w:ascii="Times New Roman" w:hAnsi="Times New Roman" w:cs="Times New Roman"/>
          <w:sz w:val="24"/>
          <w:szCs w:val="24"/>
        </w:rPr>
        <w:t>развития сельского хозяйства и регулирования рынков сельхозпродукции, сырья и продовольствия</w:t>
      </w:r>
      <w:r w:rsidR="00736973">
        <w:rPr>
          <w:rFonts w:ascii="Times New Roman" w:hAnsi="Times New Roman" w:cs="Times New Roman"/>
          <w:sz w:val="24"/>
          <w:szCs w:val="24"/>
        </w:rPr>
        <w:t xml:space="preserve"> </w:t>
      </w:r>
      <w:r w:rsidR="00736973" w:rsidRPr="00736973">
        <w:rPr>
          <w:rFonts w:ascii="Times New Roman" w:hAnsi="Times New Roman" w:cs="Times New Roman"/>
          <w:sz w:val="24"/>
          <w:szCs w:val="24"/>
        </w:rPr>
        <w:t>[2]</w:t>
      </w:r>
      <w:r w:rsidR="0072302C" w:rsidRPr="00736973">
        <w:rPr>
          <w:rFonts w:ascii="Times New Roman" w:hAnsi="Times New Roman" w:cs="Times New Roman"/>
          <w:sz w:val="24"/>
          <w:szCs w:val="24"/>
        </w:rPr>
        <w:t>.</w:t>
      </w:r>
    </w:p>
    <w:p w:rsidR="007E2EF2" w:rsidRDefault="00774FD5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Пищевая и перерабатывающая промышленность является одной из стабильно функционирующих отраслей народного хозяйства, которая достаточно инертно реагирует на кризисные явления, с которыми сталкивается экономика страны. В определенной степени этот феномен можно объяснить низкой эластичностью спроса как по ценам, так и по доходам населения </w:t>
      </w:r>
      <w:r w:rsidR="005F5FF8">
        <w:rPr>
          <w:rFonts w:ascii="Times New Roman" w:hAnsi="Times New Roman" w:cs="Times New Roman"/>
          <w:sz w:val="24"/>
          <w:szCs w:val="24"/>
        </w:rPr>
        <w:t>на многие ключевые товарные группы</w:t>
      </w:r>
      <w:r>
        <w:rPr>
          <w:rFonts w:ascii="Times New Roman" w:hAnsi="Times New Roman" w:cs="Times New Roman"/>
          <w:sz w:val="24"/>
          <w:szCs w:val="24"/>
        </w:rPr>
        <w:t>.</w:t>
      </w:r>
      <w:r w:rsidR="004421E7">
        <w:rPr>
          <w:rFonts w:ascii="Times New Roman" w:hAnsi="Times New Roman" w:cs="Times New Roman"/>
          <w:sz w:val="24"/>
          <w:szCs w:val="24"/>
        </w:rPr>
        <w:t xml:space="preserve"> </w:t>
      </w:r>
      <w:r w:rsidR="0069792B">
        <w:rPr>
          <w:rFonts w:ascii="Times New Roman" w:hAnsi="Times New Roman" w:cs="Times New Roman"/>
          <w:sz w:val="24"/>
          <w:szCs w:val="24"/>
        </w:rPr>
        <w:t xml:space="preserve">Из рисунка 1 видно, что динамика объемов производства в пищевой отрасли достаточно стабильна и имеет постоянно, достаточно равномерно возрастающий тренд. </w:t>
      </w:r>
      <w:r w:rsidR="00D64A34">
        <w:rPr>
          <w:rFonts w:ascii="Times New Roman" w:hAnsi="Times New Roman" w:cs="Times New Roman"/>
          <w:sz w:val="24"/>
          <w:szCs w:val="24"/>
        </w:rPr>
        <w:t xml:space="preserve">Этому, в том числе, способствуют и меры поддержки отрасли со стороны государства, направленные, с одной стороны, на достижение продовольственной независимости страны, а, с другой, на увеличение входящих финансовых потоков от </w:t>
      </w:r>
      <w:proofErr w:type="spellStart"/>
      <w:r w:rsidR="00D64A34">
        <w:rPr>
          <w:rFonts w:ascii="Times New Roman" w:hAnsi="Times New Roman" w:cs="Times New Roman"/>
          <w:sz w:val="24"/>
          <w:szCs w:val="24"/>
        </w:rPr>
        <w:t>агроэкспорта</w:t>
      </w:r>
      <w:proofErr w:type="spellEnd"/>
      <w:r w:rsidR="00D64A34">
        <w:rPr>
          <w:rFonts w:ascii="Times New Roman" w:hAnsi="Times New Roman" w:cs="Times New Roman"/>
          <w:sz w:val="24"/>
          <w:szCs w:val="24"/>
        </w:rPr>
        <w:t xml:space="preserve">. </w:t>
      </w:r>
      <w:r w:rsidR="001135B0">
        <w:rPr>
          <w:rFonts w:ascii="Times New Roman" w:hAnsi="Times New Roman" w:cs="Times New Roman"/>
          <w:sz w:val="24"/>
          <w:szCs w:val="24"/>
        </w:rPr>
        <w:t>И</w:t>
      </w:r>
      <w:r w:rsidR="00C93723">
        <w:rPr>
          <w:rFonts w:ascii="Times New Roman" w:hAnsi="Times New Roman" w:cs="Times New Roman"/>
          <w:sz w:val="24"/>
          <w:szCs w:val="24"/>
        </w:rPr>
        <w:t xml:space="preserve">з графика видно, что поведение кривых, отражающих изменение показателей импорта и экспорта продовольствия и </w:t>
      </w:r>
      <w:proofErr w:type="spellStart"/>
      <w:r w:rsidR="00C93723">
        <w:rPr>
          <w:rFonts w:ascii="Times New Roman" w:hAnsi="Times New Roman" w:cs="Times New Roman"/>
          <w:sz w:val="24"/>
          <w:szCs w:val="24"/>
        </w:rPr>
        <w:t>сельхозсырья</w:t>
      </w:r>
      <w:proofErr w:type="spellEnd"/>
      <w:r w:rsidR="00C93723">
        <w:rPr>
          <w:rFonts w:ascii="Times New Roman" w:hAnsi="Times New Roman" w:cs="Times New Roman"/>
          <w:sz w:val="24"/>
          <w:szCs w:val="24"/>
        </w:rPr>
        <w:t xml:space="preserve"> более чувствительно к экономико-политическим условиям, воздействующим как на внутренние, так и на внешние потребительские рынки.</w:t>
      </w:r>
      <w:r w:rsidR="001135B0">
        <w:rPr>
          <w:rFonts w:ascii="Times New Roman" w:hAnsi="Times New Roman" w:cs="Times New Roman"/>
          <w:sz w:val="24"/>
          <w:szCs w:val="24"/>
        </w:rPr>
        <w:t xml:space="preserve"> </w:t>
      </w:r>
      <w:r w:rsidR="009B0EFB">
        <w:rPr>
          <w:rFonts w:ascii="Times New Roman" w:hAnsi="Times New Roman" w:cs="Times New Roman"/>
          <w:sz w:val="24"/>
          <w:szCs w:val="24"/>
        </w:rPr>
        <w:t>Н</w:t>
      </w:r>
      <w:r w:rsidR="001135B0">
        <w:rPr>
          <w:rFonts w:ascii="Times New Roman" w:hAnsi="Times New Roman" w:cs="Times New Roman"/>
          <w:sz w:val="24"/>
          <w:szCs w:val="24"/>
        </w:rPr>
        <w:t xml:space="preserve">а протяжении практически всего рассматриваемого периода, благодаря политике поддержания процессов </w:t>
      </w:r>
      <w:proofErr w:type="spellStart"/>
      <w:r w:rsidR="001135B0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="001135B0">
        <w:rPr>
          <w:rFonts w:ascii="Times New Roman" w:hAnsi="Times New Roman" w:cs="Times New Roman"/>
          <w:sz w:val="24"/>
          <w:szCs w:val="24"/>
        </w:rPr>
        <w:t>, импорт продовольствия, в целом, устой</w:t>
      </w:r>
      <w:r w:rsidR="00927151">
        <w:rPr>
          <w:rFonts w:ascii="Times New Roman" w:hAnsi="Times New Roman" w:cs="Times New Roman"/>
          <w:sz w:val="24"/>
          <w:szCs w:val="24"/>
        </w:rPr>
        <w:t>чиво снижался, а объемы экспорта</w:t>
      </w:r>
      <w:r w:rsidR="001135B0">
        <w:rPr>
          <w:rFonts w:ascii="Times New Roman" w:hAnsi="Times New Roman" w:cs="Times New Roman"/>
          <w:sz w:val="24"/>
          <w:szCs w:val="24"/>
        </w:rPr>
        <w:t>, напротив</w:t>
      </w:r>
      <w:r w:rsidR="009B0EFB">
        <w:rPr>
          <w:rFonts w:ascii="Times New Roman" w:hAnsi="Times New Roman" w:cs="Times New Roman"/>
          <w:sz w:val="24"/>
          <w:szCs w:val="24"/>
        </w:rPr>
        <w:t xml:space="preserve">, росли, при этом в абсолютных значениях импорт превышал экспорт. </w:t>
      </w:r>
      <w:r w:rsidR="001135B0">
        <w:rPr>
          <w:rFonts w:ascii="Times New Roman" w:hAnsi="Times New Roman" w:cs="Times New Roman"/>
          <w:sz w:val="24"/>
          <w:szCs w:val="24"/>
        </w:rPr>
        <w:t xml:space="preserve"> В 2020 году впервые значения показателей экспорта и </w:t>
      </w:r>
      <w:r w:rsidR="009B0EFB">
        <w:rPr>
          <w:rFonts w:ascii="Times New Roman" w:hAnsi="Times New Roman" w:cs="Times New Roman"/>
          <w:sz w:val="24"/>
          <w:szCs w:val="24"/>
        </w:rPr>
        <w:t>импорта сравнялись,</w:t>
      </w:r>
      <w:r w:rsidR="00927151">
        <w:rPr>
          <w:rFonts w:ascii="Times New Roman" w:hAnsi="Times New Roman" w:cs="Times New Roman"/>
          <w:sz w:val="24"/>
          <w:szCs w:val="24"/>
        </w:rPr>
        <w:t xml:space="preserve"> а</w:t>
      </w:r>
      <w:r w:rsidR="009B0EFB">
        <w:rPr>
          <w:rFonts w:ascii="Times New Roman" w:hAnsi="Times New Roman" w:cs="Times New Roman"/>
          <w:sz w:val="24"/>
          <w:szCs w:val="24"/>
        </w:rPr>
        <w:t xml:space="preserve"> торговый баланс при этом изменился с пассивного на активный. </w:t>
      </w:r>
    </w:p>
    <w:p w:rsidR="007E2EF2" w:rsidRDefault="007E2EF2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E2EF2" w:rsidRDefault="007E2EF2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E2EF2" w:rsidRDefault="007E2EF2" w:rsidP="007E2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03E2C1C0" wp14:editId="621CA2A7">
            <wp:extent cx="6120130" cy="4889029"/>
            <wp:effectExtent l="0" t="0" r="13970" b="2603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B3103" w:rsidRDefault="004B3103" w:rsidP="002D3B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Источник: составлено по расчётам автора с</w:t>
      </w:r>
      <w:r w:rsidR="002D3B1B">
        <w:rPr>
          <w:rFonts w:ascii="Times New Roman" w:hAnsi="Times New Roman" w:cs="Times New Roman"/>
          <w:sz w:val="24"/>
          <w:szCs w:val="24"/>
        </w:rPr>
        <w:t xml:space="preserve"> использованием данных Росстата</w:t>
      </w:r>
      <w:r w:rsidR="002D3B1B" w:rsidRPr="002D3B1B">
        <w:rPr>
          <w:rFonts w:ascii="Times New Roman" w:hAnsi="Times New Roman" w:cs="Times New Roman"/>
          <w:sz w:val="24"/>
          <w:szCs w:val="24"/>
        </w:rPr>
        <w:t xml:space="preserve"> (</w:t>
      </w:r>
      <w:r w:rsidR="002D3B1B">
        <w:rPr>
          <w:rFonts w:ascii="Times New Roman" w:hAnsi="Times New Roman" w:cs="Times New Roman"/>
          <w:sz w:val="24"/>
          <w:szCs w:val="24"/>
        </w:rPr>
        <w:t xml:space="preserve">Официальный сайт: </w:t>
      </w:r>
      <w:r w:rsidR="002D3B1B" w:rsidRPr="002D3B1B">
        <w:rPr>
          <w:rFonts w:ascii="Times New Roman" w:hAnsi="Times New Roman" w:cs="Times New Roman"/>
          <w:sz w:val="24"/>
          <w:szCs w:val="24"/>
        </w:rPr>
        <w:t>https://rosstat.gov.ru/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E2EF2" w:rsidRDefault="004B3103" w:rsidP="004B310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 1. </w:t>
      </w:r>
      <w:r w:rsidRPr="004B3103">
        <w:rPr>
          <w:rFonts w:ascii="Times New Roman" w:hAnsi="Times New Roman" w:cs="Times New Roman"/>
          <w:b/>
          <w:sz w:val="24"/>
          <w:szCs w:val="24"/>
        </w:rPr>
        <w:t>Динамика некоторых показателей, отражающих тенденции развития пищевой отрасли России (в фактически действующих ценах)</w:t>
      </w:r>
      <w:r w:rsidR="00A951E4">
        <w:rPr>
          <w:rFonts w:ascii="Times New Roman" w:hAnsi="Times New Roman" w:cs="Times New Roman"/>
          <w:b/>
          <w:sz w:val="24"/>
          <w:szCs w:val="24"/>
        </w:rPr>
        <w:t xml:space="preserve">, и </w:t>
      </w:r>
      <w:r w:rsidR="00566620">
        <w:rPr>
          <w:rFonts w:ascii="Times New Roman" w:hAnsi="Times New Roman" w:cs="Times New Roman"/>
          <w:b/>
          <w:sz w:val="24"/>
          <w:szCs w:val="24"/>
        </w:rPr>
        <w:t>соответствующие</w:t>
      </w:r>
      <w:r w:rsidR="00A951E4">
        <w:rPr>
          <w:rFonts w:ascii="Times New Roman" w:hAnsi="Times New Roman" w:cs="Times New Roman"/>
          <w:b/>
          <w:sz w:val="24"/>
          <w:szCs w:val="24"/>
        </w:rPr>
        <w:t xml:space="preserve"> линии трендов</w:t>
      </w:r>
    </w:p>
    <w:p w:rsidR="007E2EF2" w:rsidRDefault="007E2EF2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970ED" w:rsidRPr="0048531C" w:rsidRDefault="0048531C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качестве вспомогательного инструмента, позволяющего описать обобщенные тенденции развития пищевой и перерабатывающей промышленности России, нами были </w:t>
      </w:r>
      <w:r w:rsidR="00927151">
        <w:rPr>
          <w:rFonts w:ascii="Times New Roman" w:hAnsi="Times New Roman" w:cs="Times New Roman"/>
          <w:sz w:val="24"/>
          <w:szCs w:val="24"/>
        </w:rPr>
        <w:t>использованы построенные</w:t>
      </w:r>
      <w:r>
        <w:rPr>
          <w:rFonts w:ascii="Times New Roman" w:hAnsi="Times New Roman" w:cs="Times New Roman"/>
          <w:sz w:val="24"/>
          <w:szCs w:val="24"/>
        </w:rPr>
        <w:t xml:space="preserve"> регрессионные модели поведения вышеназванных показателей</w:t>
      </w:r>
      <w:r w:rsidR="00DE0219" w:rsidRPr="00DE0219">
        <w:rPr>
          <w:rFonts w:ascii="Times New Roman" w:hAnsi="Times New Roman" w:cs="Times New Roman"/>
          <w:sz w:val="24"/>
          <w:szCs w:val="24"/>
        </w:rPr>
        <w:t xml:space="preserve"> [3]</w:t>
      </w:r>
      <w:r>
        <w:rPr>
          <w:rFonts w:ascii="Times New Roman" w:hAnsi="Times New Roman" w:cs="Times New Roman"/>
          <w:sz w:val="24"/>
          <w:szCs w:val="24"/>
        </w:rPr>
        <w:t xml:space="preserve">, основные характеристики которых приведены в таблице 1. </w:t>
      </w:r>
      <w:r w:rsidR="00E567C3">
        <w:rPr>
          <w:rFonts w:ascii="Times New Roman" w:hAnsi="Times New Roman" w:cs="Times New Roman"/>
          <w:sz w:val="24"/>
          <w:szCs w:val="24"/>
        </w:rPr>
        <w:t xml:space="preserve">С целью оценки качества построенных линий трендов, краткосрочный прогноз, полученный с использованием регрессионной модели был сравнен с фактическими данными за 2022 год, опубликованными в официальных источниках информации. </w:t>
      </w:r>
      <w:r w:rsidR="00333487">
        <w:rPr>
          <w:rFonts w:ascii="Times New Roman" w:hAnsi="Times New Roman" w:cs="Times New Roman"/>
          <w:sz w:val="24"/>
          <w:szCs w:val="24"/>
        </w:rPr>
        <w:t xml:space="preserve">Стоит отметить, что в рамках настоящего исследования не было цели спрогнозировать точные значения показателей, была поставлена задача изучить долгосрочный тренд в развитии отечественного </w:t>
      </w:r>
      <w:proofErr w:type="spellStart"/>
      <w:r w:rsidR="00333487">
        <w:rPr>
          <w:rFonts w:ascii="Times New Roman" w:hAnsi="Times New Roman" w:cs="Times New Roman"/>
          <w:sz w:val="24"/>
          <w:szCs w:val="24"/>
        </w:rPr>
        <w:t>пищепрома</w:t>
      </w:r>
      <w:proofErr w:type="spellEnd"/>
      <w:r w:rsidR="00333487">
        <w:rPr>
          <w:rFonts w:ascii="Times New Roman" w:hAnsi="Times New Roman" w:cs="Times New Roman"/>
          <w:sz w:val="24"/>
          <w:szCs w:val="24"/>
        </w:rPr>
        <w:t>.</w:t>
      </w:r>
      <w:r w:rsidR="00927151">
        <w:rPr>
          <w:rFonts w:ascii="Times New Roman" w:hAnsi="Times New Roman" w:cs="Times New Roman"/>
          <w:sz w:val="24"/>
          <w:szCs w:val="24"/>
        </w:rPr>
        <w:t xml:space="preserve"> В процессе анализа</w:t>
      </w:r>
      <w:r w:rsidR="008D40EA">
        <w:rPr>
          <w:rFonts w:ascii="Times New Roman" w:hAnsi="Times New Roman" w:cs="Times New Roman"/>
          <w:sz w:val="24"/>
          <w:szCs w:val="24"/>
        </w:rPr>
        <w:t xml:space="preserve"> </w:t>
      </w:r>
      <w:r w:rsidR="00927151">
        <w:rPr>
          <w:rFonts w:ascii="Times New Roman" w:hAnsi="Times New Roman" w:cs="Times New Roman"/>
          <w:sz w:val="24"/>
          <w:szCs w:val="24"/>
        </w:rPr>
        <w:t>п</w:t>
      </w:r>
      <w:r w:rsidR="008D40EA">
        <w:rPr>
          <w:rFonts w:ascii="Times New Roman" w:hAnsi="Times New Roman" w:cs="Times New Roman"/>
          <w:sz w:val="24"/>
          <w:szCs w:val="24"/>
        </w:rPr>
        <w:t xml:space="preserve">одтверждены зависимости в динамике производства пищевых продуктов и </w:t>
      </w:r>
      <w:proofErr w:type="spellStart"/>
      <w:r w:rsidR="008D40EA">
        <w:rPr>
          <w:rFonts w:ascii="Times New Roman" w:hAnsi="Times New Roman" w:cs="Times New Roman"/>
          <w:sz w:val="24"/>
          <w:szCs w:val="24"/>
        </w:rPr>
        <w:t>агроэкспорта</w:t>
      </w:r>
      <w:proofErr w:type="spellEnd"/>
      <w:r w:rsidR="008D40EA">
        <w:rPr>
          <w:rFonts w:ascii="Times New Roman" w:hAnsi="Times New Roman" w:cs="Times New Roman"/>
          <w:sz w:val="24"/>
          <w:szCs w:val="24"/>
        </w:rPr>
        <w:t xml:space="preserve">, однако, в краткосрочной перспективе не оправдался прогноз на 2022 год по импорту продовольствия и </w:t>
      </w:r>
      <w:proofErr w:type="spellStart"/>
      <w:r w:rsidR="008D40EA">
        <w:rPr>
          <w:rFonts w:ascii="Times New Roman" w:hAnsi="Times New Roman" w:cs="Times New Roman"/>
          <w:sz w:val="24"/>
          <w:szCs w:val="24"/>
        </w:rPr>
        <w:t>сельхозсырья</w:t>
      </w:r>
      <w:proofErr w:type="spellEnd"/>
      <w:r w:rsidR="008D40EA">
        <w:rPr>
          <w:rFonts w:ascii="Times New Roman" w:hAnsi="Times New Roman" w:cs="Times New Roman"/>
          <w:sz w:val="24"/>
          <w:szCs w:val="24"/>
        </w:rPr>
        <w:t xml:space="preserve">, что связано с определенными сложностями в силу специфики показателя, а именно, наличия </w:t>
      </w:r>
      <w:r w:rsidR="008D40EA" w:rsidRPr="008D40EA">
        <w:rPr>
          <w:rFonts w:ascii="Times New Roman" w:hAnsi="Times New Roman" w:cs="Times New Roman"/>
          <w:sz w:val="24"/>
          <w:szCs w:val="24"/>
        </w:rPr>
        <w:t xml:space="preserve">большого количества </w:t>
      </w:r>
      <w:r w:rsidR="008D40EA">
        <w:rPr>
          <w:rFonts w:ascii="Times New Roman" w:hAnsi="Times New Roman" w:cs="Times New Roman"/>
          <w:sz w:val="24"/>
          <w:szCs w:val="24"/>
        </w:rPr>
        <w:t>неучтенных</w:t>
      </w:r>
      <w:r w:rsidR="008D40EA" w:rsidRPr="008D40EA">
        <w:rPr>
          <w:rFonts w:ascii="Times New Roman" w:hAnsi="Times New Roman" w:cs="Times New Roman"/>
          <w:sz w:val="24"/>
          <w:szCs w:val="24"/>
        </w:rPr>
        <w:t xml:space="preserve"> факторов,</w:t>
      </w:r>
      <w:r w:rsidR="008D40EA">
        <w:rPr>
          <w:rFonts w:ascii="Times New Roman" w:hAnsi="Times New Roman" w:cs="Times New Roman"/>
          <w:sz w:val="24"/>
          <w:szCs w:val="24"/>
        </w:rPr>
        <w:t xml:space="preserve"> которые влияют на процесс международной торговли,</w:t>
      </w:r>
      <w:r w:rsidR="008D40EA" w:rsidRPr="008D40EA">
        <w:rPr>
          <w:rFonts w:ascii="Times New Roman" w:hAnsi="Times New Roman" w:cs="Times New Roman"/>
          <w:sz w:val="24"/>
          <w:szCs w:val="24"/>
        </w:rPr>
        <w:t xml:space="preserve"> в частности, непредсказуемое поведение зарубежных участников рыночных отношений, легализация параллельного импорта по ряду товарных позиций, активно стимулируемые со стороны государства процессы </w:t>
      </w:r>
      <w:proofErr w:type="spellStart"/>
      <w:r w:rsidR="008D40EA" w:rsidRPr="008D40EA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="008D40EA" w:rsidRPr="008D40EA">
        <w:rPr>
          <w:rFonts w:ascii="Times New Roman" w:hAnsi="Times New Roman" w:cs="Times New Roman"/>
          <w:sz w:val="24"/>
          <w:szCs w:val="24"/>
        </w:rPr>
        <w:t xml:space="preserve"> и т.п.</w:t>
      </w:r>
    </w:p>
    <w:p w:rsidR="00E970ED" w:rsidRDefault="00E970ED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E0158" w:rsidRDefault="00AD771A" w:rsidP="00AD771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Таблица 1. </w:t>
      </w:r>
      <w:r w:rsidRPr="00AD771A">
        <w:rPr>
          <w:rFonts w:ascii="Times New Roman" w:hAnsi="Times New Roman" w:cs="Times New Roman"/>
          <w:b/>
          <w:sz w:val="24"/>
          <w:szCs w:val="24"/>
        </w:rPr>
        <w:t>Характеристики полученных регрессионных моделей и оценка их качества в соответствии с</w:t>
      </w:r>
      <w:r>
        <w:rPr>
          <w:rFonts w:ascii="Times New Roman" w:hAnsi="Times New Roman" w:cs="Times New Roman"/>
          <w:b/>
          <w:sz w:val="24"/>
          <w:szCs w:val="24"/>
        </w:rPr>
        <w:t xml:space="preserve"> фактически полученными данными</w:t>
      </w:r>
    </w:p>
    <w:tbl>
      <w:tblPr>
        <w:tblStyle w:val="aa"/>
        <w:tblW w:w="9498" w:type="dxa"/>
        <w:jc w:val="center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2727"/>
        <w:gridCol w:w="709"/>
        <w:gridCol w:w="709"/>
        <w:gridCol w:w="1134"/>
        <w:gridCol w:w="1276"/>
      </w:tblGrid>
      <w:tr w:rsidR="008830C3" w:rsidRPr="00176CD6" w:rsidTr="008830C3">
        <w:trPr>
          <w:cantSplit/>
          <w:trHeight w:val="2967"/>
          <w:jc w:val="center"/>
        </w:trPr>
        <w:tc>
          <w:tcPr>
            <w:tcW w:w="1809" w:type="dxa"/>
            <w:textDirection w:val="btLr"/>
            <w:vAlign w:val="center"/>
          </w:tcPr>
          <w:p w:rsidR="008830C3" w:rsidRPr="00176CD6" w:rsidRDefault="008830C3" w:rsidP="008B05C2">
            <w:pPr>
              <w:ind w:left="113" w:right="113"/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Показатель</w:t>
            </w:r>
          </w:p>
        </w:tc>
        <w:tc>
          <w:tcPr>
            <w:tcW w:w="1134" w:type="dxa"/>
            <w:textDirection w:val="btLr"/>
            <w:vAlign w:val="center"/>
          </w:tcPr>
          <w:p w:rsidR="008830C3" w:rsidRPr="00176CD6" w:rsidRDefault="008830C3" w:rsidP="008830C3">
            <w:pPr>
              <w:ind w:left="113" w:right="11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Тип регрессионной модели</w:t>
            </w:r>
          </w:p>
        </w:tc>
        <w:tc>
          <w:tcPr>
            <w:tcW w:w="2727" w:type="dxa"/>
            <w:textDirection w:val="btLr"/>
            <w:vAlign w:val="center"/>
          </w:tcPr>
          <w:p w:rsidR="008830C3" w:rsidRPr="00176CD6" w:rsidRDefault="008830C3" w:rsidP="008B05C2">
            <w:pPr>
              <w:ind w:left="-14" w:right="113"/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Уравнение линии тренда</w:t>
            </w:r>
          </w:p>
        </w:tc>
        <w:tc>
          <w:tcPr>
            <w:tcW w:w="709" w:type="dxa"/>
            <w:textDirection w:val="btLr"/>
            <w:vAlign w:val="center"/>
          </w:tcPr>
          <w:p w:rsidR="008830C3" w:rsidRPr="00176CD6" w:rsidRDefault="008830C3" w:rsidP="008B05C2">
            <w:pPr>
              <w:ind w:left="113" w:right="113"/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Величина достоверности аппроксимации (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</w:rPr>
                    <m:t>R</m:t>
                  </m:r>
                </m:e>
                <m:sup>
                  <m:r>
                    <w:rPr>
                      <w:rFonts w:ascii="Cambria Math" w:hAnsi="Cambria Math" w:cs="Times New Roman"/>
                    </w:rPr>
                    <m:t>2</m:t>
                  </m:r>
                </m:sup>
              </m:sSup>
            </m:oMath>
            <w:r w:rsidRPr="00176CD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709" w:type="dxa"/>
            <w:textDirection w:val="btLr"/>
            <w:vAlign w:val="center"/>
          </w:tcPr>
          <w:p w:rsidR="008830C3" w:rsidRPr="00176CD6" w:rsidRDefault="008830C3" w:rsidP="008B05C2">
            <w:pPr>
              <w:ind w:left="4" w:right="113"/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Прогноз по модели на 2022 год</w:t>
            </w:r>
          </w:p>
        </w:tc>
        <w:tc>
          <w:tcPr>
            <w:tcW w:w="1134" w:type="dxa"/>
            <w:textDirection w:val="btLr"/>
            <w:vAlign w:val="center"/>
          </w:tcPr>
          <w:p w:rsidR="008830C3" w:rsidRPr="00176CD6" w:rsidRDefault="008830C3" w:rsidP="008B05C2">
            <w:pPr>
              <w:ind w:left="-32" w:right="113"/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Предварительная оценка тенденций показателей на 2022 год (по официальным данным)</w:t>
            </w:r>
          </w:p>
        </w:tc>
        <w:tc>
          <w:tcPr>
            <w:tcW w:w="1276" w:type="dxa"/>
            <w:textDirection w:val="btLr"/>
            <w:vAlign w:val="center"/>
          </w:tcPr>
          <w:p w:rsidR="008830C3" w:rsidRPr="00176CD6" w:rsidRDefault="008830C3" w:rsidP="008830C3">
            <w:pPr>
              <w:ind w:left="-108" w:right="113"/>
              <w:jc w:val="center"/>
              <w:rPr>
                <w:rFonts w:ascii="Times New Roman" w:hAnsi="Times New Roman" w:cs="Times New Roman"/>
              </w:rPr>
            </w:pPr>
            <w:r w:rsidRPr="008830C3">
              <w:rPr>
                <w:rFonts w:ascii="Times New Roman" w:hAnsi="Times New Roman" w:cs="Times New Roman"/>
              </w:rPr>
              <w:t>Фактические данные за 2022 год</w:t>
            </w:r>
          </w:p>
        </w:tc>
      </w:tr>
      <w:tr w:rsidR="008830C3" w:rsidRPr="00176CD6" w:rsidTr="008830C3">
        <w:trPr>
          <w:jc w:val="center"/>
        </w:trPr>
        <w:tc>
          <w:tcPr>
            <w:tcW w:w="1809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 xml:space="preserve">Производство пищевых продуктов, напитков и табака, </w:t>
            </w:r>
            <w:proofErr w:type="spellStart"/>
            <w:r w:rsidRPr="00176CD6">
              <w:rPr>
                <w:rFonts w:ascii="Times New Roman" w:hAnsi="Times New Roman" w:cs="Times New Roman"/>
              </w:rPr>
              <w:t>млрд.руб</w:t>
            </w:r>
            <w:proofErr w:type="spellEnd"/>
            <w:r w:rsidRPr="00176CD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Линейная</w:t>
            </w:r>
          </w:p>
        </w:tc>
        <w:tc>
          <w:tcPr>
            <w:tcW w:w="2727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m:oMathPara>
              <m:oMath>
                <m:r>
                  <w:rPr>
                    <w:rFonts w:ascii="Cambria Math" w:hAnsi="Cambria Math" w:cs="Times New Roman"/>
                  </w:rPr>
                  <m:t>y=548,34x+2379,9</m:t>
                </m:r>
              </m:oMath>
            </m:oMathPara>
          </w:p>
        </w:tc>
        <w:tc>
          <w:tcPr>
            <w:tcW w:w="709" w:type="dxa"/>
            <w:vAlign w:val="center"/>
          </w:tcPr>
          <w:p w:rsidR="008830C3" w:rsidRPr="00176CD6" w:rsidRDefault="008830C3" w:rsidP="008830C3">
            <w:pPr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0,96</w:t>
            </w:r>
          </w:p>
        </w:tc>
        <w:tc>
          <w:tcPr>
            <w:tcW w:w="709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Рост</w:t>
            </w:r>
          </w:p>
        </w:tc>
        <w:tc>
          <w:tcPr>
            <w:tcW w:w="1134" w:type="dxa"/>
            <w:vAlign w:val="center"/>
          </w:tcPr>
          <w:p w:rsidR="008830C3" w:rsidRPr="008830C3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Рост</w:t>
            </w:r>
          </w:p>
        </w:tc>
        <w:tc>
          <w:tcPr>
            <w:tcW w:w="1276" w:type="dxa"/>
            <w:vAlign w:val="center"/>
          </w:tcPr>
          <w:p w:rsidR="008830C3" w:rsidRPr="008830C3" w:rsidRDefault="008830C3" w:rsidP="008830C3">
            <w:pPr>
              <w:pStyle w:val="a9"/>
              <w:spacing w:before="0" w:beforeAutospacing="0" w:after="0" w:afterAutospacing="0" w:line="256" w:lineRule="auto"/>
              <w:ind w:left="-10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30C3">
              <w:rPr>
                <w:rFonts w:eastAsia="Calibri"/>
                <w:color w:val="000000" w:themeColor="text1"/>
                <w:kern w:val="24"/>
                <w:sz w:val="22"/>
                <w:szCs w:val="22"/>
              </w:rPr>
              <w:t>Рост на 15,3% (до 11288 млрд. руб.)</w:t>
            </w:r>
          </w:p>
        </w:tc>
      </w:tr>
      <w:tr w:rsidR="008830C3" w:rsidRPr="00176CD6" w:rsidTr="008830C3">
        <w:trPr>
          <w:jc w:val="center"/>
        </w:trPr>
        <w:tc>
          <w:tcPr>
            <w:tcW w:w="1809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 xml:space="preserve">Экспорт продовольственных товаров и </w:t>
            </w:r>
            <w:proofErr w:type="spellStart"/>
            <w:r w:rsidRPr="00176CD6">
              <w:rPr>
                <w:rFonts w:ascii="Times New Roman" w:hAnsi="Times New Roman" w:cs="Times New Roman"/>
              </w:rPr>
              <w:t>сельхозсырья</w:t>
            </w:r>
            <w:proofErr w:type="spellEnd"/>
            <w:r w:rsidRPr="00176CD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176CD6">
              <w:rPr>
                <w:rFonts w:ascii="Times New Roman" w:hAnsi="Times New Roman" w:cs="Times New Roman"/>
              </w:rPr>
              <w:t>млн.долл.США</w:t>
            </w:r>
            <w:proofErr w:type="spellEnd"/>
          </w:p>
        </w:tc>
        <w:tc>
          <w:tcPr>
            <w:tcW w:w="1134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Полином 4 степени</w:t>
            </w:r>
          </w:p>
        </w:tc>
        <w:tc>
          <w:tcPr>
            <w:tcW w:w="2727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  <w:i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 w:cs="Times New Roman"/>
                  </w:rPr>
                  <m:t>y=-6,7431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+230,1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-2436,2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+10680x+288,53</m:t>
                </m:r>
              </m:oMath>
            </m:oMathPara>
          </w:p>
        </w:tc>
        <w:tc>
          <w:tcPr>
            <w:tcW w:w="709" w:type="dxa"/>
            <w:vAlign w:val="center"/>
          </w:tcPr>
          <w:p w:rsidR="008830C3" w:rsidRPr="00176CD6" w:rsidRDefault="008830C3" w:rsidP="008830C3">
            <w:pPr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0,97</w:t>
            </w:r>
          </w:p>
        </w:tc>
        <w:tc>
          <w:tcPr>
            <w:tcW w:w="709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Рост</w:t>
            </w:r>
          </w:p>
        </w:tc>
        <w:tc>
          <w:tcPr>
            <w:tcW w:w="1134" w:type="dxa"/>
            <w:vAlign w:val="center"/>
          </w:tcPr>
          <w:p w:rsidR="008830C3" w:rsidRPr="008830C3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Рост около 12%</w:t>
            </w:r>
          </w:p>
        </w:tc>
        <w:tc>
          <w:tcPr>
            <w:tcW w:w="1276" w:type="dxa"/>
            <w:vAlign w:val="center"/>
          </w:tcPr>
          <w:p w:rsidR="008830C3" w:rsidRPr="008830C3" w:rsidRDefault="008830C3" w:rsidP="008830C3">
            <w:pPr>
              <w:pStyle w:val="a9"/>
              <w:spacing w:before="0" w:beforeAutospacing="0" w:after="0" w:afterAutospacing="0" w:line="256" w:lineRule="auto"/>
              <w:ind w:left="-10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30C3">
              <w:rPr>
                <w:rFonts w:eastAsia="Calibri"/>
                <w:color w:val="000000" w:themeColor="text1"/>
                <w:kern w:val="24"/>
                <w:sz w:val="22"/>
                <w:szCs w:val="22"/>
              </w:rPr>
              <w:t xml:space="preserve">Рост на 14,8% (до 41,3 млрд. </w:t>
            </w:r>
            <w:proofErr w:type="spellStart"/>
            <w:r w:rsidRPr="008830C3">
              <w:rPr>
                <w:rFonts w:eastAsia="Calibri"/>
                <w:color w:val="000000" w:themeColor="text1"/>
                <w:kern w:val="24"/>
                <w:sz w:val="22"/>
                <w:szCs w:val="22"/>
              </w:rPr>
              <w:t>долл.США</w:t>
            </w:r>
            <w:proofErr w:type="spellEnd"/>
            <w:r w:rsidRPr="008830C3">
              <w:rPr>
                <w:rFonts w:eastAsia="Calibri"/>
                <w:color w:val="000000" w:themeColor="text1"/>
                <w:kern w:val="24"/>
                <w:sz w:val="22"/>
                <w:szCs w:val="22"/>
              </w:rPr>
              <w:t>)</w:t>
            </w:r>
          </w:p>
        </w:tc>
      </w:tr>
      <w:tr w:rsidR="008830C3" w:rsidRPr="00176CD6" w:rsidTr="008830C3">
        <w:trPr>
          <w:jc w:val="center"/>
        </w:trPr>
        <w:tc>
          <w:tcPr>
            <w:tcW w:w="1809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 xml:space="preserve">Импорт продовольственных товаров и </w:t>
            </w:r>
            <w:proofErr w:type="spellStart"/>
            <w:r w:rsidRPr="00176CD6">
              <w:rPr>
                <w:rFonts w:ascii="Times New Roman" w:hAnsi="Times New Roman" w:cs="Times New Roman"/>
              </w:rPr>
              <w:t>сельхозсырья</w:t>
            </w:r>
            <w:proofErr w:type="spellEnd"/>
            <w:r w:rsidRPr="00176CD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176CD6">
              <w:rPr>
                <w:rFonts w:ascii="Times New Roman" w:hAnsi="Times New Roman" w:cs="Times New Roman"/>
              </w:rPr>
              <w:t>млн.долл.США</w:t>
            </w:r>
            <w:proofErr w:type="spellEnd"/>
          </w:p>
        </w:tc>
        <w:tc>
          <w:tcPr>
            <w:tcW w:w="1134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Полином 4 степени</w:t>
            </w:r>
          </w:p>
        </w:tc>
        <w:tc>
          <w:tcPr>
            <w:tcW w:w="2727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m:oMathPara>
              <m:oMath>
                <m:r>
                  <w:rPr>
                    <w:rFonts w:ascii="Cambria Math" w:hAnsi="Cambria Math" w:cs="Times New Roman"/>
                  </w:rPr>
                  <m:t>y=-23,088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4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+696,37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-6859,6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+23121x+18942</m:t>
                </m:r>
              </m:oMath>
            </m:oMathPara>
          </w:p>
        </w:tc>
        <w:tc>
          <w:tcPr>
            <w:tcW w:w="709" w:type="dxa"/>
            <w:vAlign w:val="center"/>
          </w:tcPr>
          <w:p w:rsidR="008830C3" w:rsidRPr="00176CD6" w:rsidRDefault="008830C3" w:rsidP="008830C3">
            <w:pPr>
              <w:jc w:val="center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0,82</w:t>
            </w:r>
          </w:p>
        </w:tc>
        <w:tc>
          <w:tcPr>
            <w:tcW w:w="709" w:type="dxa"/>
            <w:vAlign w:val="center"/>
          </w:tcPr>
          <w:p w:rsidR="008830C3" w:rsidRPr="00176CD6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Снижение</w:t>
            </w:r>
          </w:p>
        </w:tc>
        <w:tc>
          <w:tcPr>
            <w:tcW w:w="1134" w:type="dxa"/>
            <w:vAlign w:val="center"/>
          </w:tcPr>
          <w:p w:rsidR="008830C3" w:rsidRPr="008830C3" w:rsidRDefault="008830C3" w:rsidP="008B05C2">
            <w:pPr>
              <w:jc w:val="both"/>
              <w:rPr>
                <w:rFonts w:ascii="Times New Roman" w:hAnsi="Times New Roman" w:cs="Times New Roman"/>
              </w:rPr>
            </w:pPr>
            <w:r w:rsidRPr="00176CD6">
              <w:rPr>
                <w:rFonts w:ascii="Times New Roman" w:hAnsi="Times New Roman" w:cs="Times New Roman"/>
              </w:rPr>
              <w:t>Незначительное снижение</w:t>
            </w:r>
          </w:p>
        </w:tc>
        <w:tc>
          <w:tcPr>
            <w:tcW w:w="1276" w:type="dxa"/>
            <w:vAlign w:val="center"/>
          </w:tcPr>
          <w:p w:rsidR="008830C3" w:rsidRPr="008830C3" w:rsidRDefault="008830C3" w:rsidP="008830C3">
            <w:pPr>
              <w:pStyle w:val="a9"/>
              <w:spacing w:before="0" w:beforeAutospacing="0" w:after="0" w:afterAutospacing="0" w:line="256" w:lineRule="auto"/>
              <w:ind w:left="-10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30C3">
              <w:rPr>
                <w:rFonts w:eastAsia="Calibri"/>
                <w:kern w:val="24"/>
                <w:sz w:val="22"/>
                <w:szCs w:val="22"/>
              </w:rPr>
              <w:t xml:space="preserve">Рост на 4,9% (до 35,5 млрд. </w:t>
            </w:r>
            <w:proofErr w:type="spellStart"/>
            <w:r w:rsidRPr="008830C3">
              <w:rPr>
                <w:rFonts w:eastAsia="Calibri"/>
                <w:kern w:val="24"/>
                <w:sz w:val="22"/>
                <w:szCs w:val="22"/>
              </w:rPr>
              <w:t>долл.США</w:t>
            </w:r>
            <w:proofErr w:type="spellEnd"/>
            <w:r w:rsidRPr="008830C3">
              <w:rPr>
                <w:rFonts w:eastAsia="Calibri"/>
                <w:kern w:val="24"/>
                <w:sz w:val="22"/>
                <w:szCs w:val="22"/>
              </w:rPr>
              <w:t>)</w:t>
            </w:r>
          </w:p>
        </w:tc>
      </w:tr>
    </w:tbl>
    <w:p w:rsidR="007E2EF2" w:rsidRPr="00AD771A" w:rsidRDefault="00AD771A" w:rsidP="00AD77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</w:t>
      </w:r>
      <w:r w:rsidR="009F5E04">
        <w:rPr>
          <w:rFonts w:ascii="Times New Roman" w:hAnsi="Times New Roman" w:cs="Times New Roman"/>
          <w:sz w:val="24"/>
          <w:szCs w:val="24"/>
        </w:rPr>
        <w:t>Источник: с</w:t>
      </w:r>
      <w:r w:rsidRPr="00AD771A">
        <w:rPr>
          <w:rFonts w:ascii="Times New Roman" w:hAnsi="Times New Roman" w:cs="Times New Roman"/>
          <w:sz w:val="24"/>
          <w:szCs w:val="24"/>
        </w:rPr>
        <w:t>оставлено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5E04">
        <w:rPr>
          <w:rFonts w:ascii="Times New Roman" w:hAnsi="Times New Roman" w:cs="Times New Roman"/>
          <w:sz w:val="24"/>
          <w:szCs w:val="24"/>
        </w:rPr>
        <w:t xml:space="preserve">на основе расчетов автора с использованием данных с официальных сайтов Росстата </w:t>
      </w:r>
      <w:r w:rsidR="009F5E04" w:rsidRPr="001C3956">
        <w:rPr>
          <w:rFonts w:ascii="Times New Roman" w:hAnsi="Times New Roman" w:cs="Times New Roman"/>
          <w:sz w:val="24"/>
          <w:szCs w:val="24"/>
        </w:rPr>
        <w:t>(</w:t>
      </w:r>
      <w:hyperlink r:id="rId9" w:history="1">
        <w:r w:rsidR="009F5E04" w:rsidRPr="001C3956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https://rosstat.gov.ru/</w:t>
        </w:r>
      </w:hyperlink>
      <w:r w:rsidR="009F5E04">
        <w:rPr>
          <w:rFonts w:ascii="Times New Roman" w:hAnsi="Times New Roman" w:cs="Times New Roman"/>
          <w:sz w:val="24"/>
          <w:szCs w:val="24"/>
        </w:rPr>
        <w:t>) и Министерства сельского хозяйства России (</w:t>
      </w:r>
      <w:r w:rsidR="009F5E04" w:rsidRPr="009F5E04">
        <w:rPr>
          <w:rFonts w:ascii="Times New Roman" w:hAnsi="Times New Roman" w:cs="Times New Roman"/>
          <w:sz w:val="24"/>
          <w:szCs w:val="24"/>
        </w:rPr>
        <w:t>https://mcx.gov.ru/</w:t>
      </w:r>
      <w:r w:rsidR="009F5E04">
        <w:rPr>
          <w:rFonts w:ascii="Times New Roman" w:hAnsi="Times New Roman" w:cs="Times New Roman"/>
          <w:sz w:val="24"/>
          <w:szCs w:val="24"/>
        </w:rPr>
        <w:t>).</w:t>
      </w:r>
    </w:p>
    <w:p w:rsidR="008830C3" w:rsidRDefault="008830C3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65B47" w:rsidRDefault="00565B47" w:rsidP="00071C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Необходимо учитывать, что в современных условиях глобальных вызовов, с которыми столкнулась экономика России, любой прогноз можно воспринимать лишь как условный ориентир, позволяющий выявить долгосрочные тенденции развития отраслей народного хозяйства, поскольку используемая статистическая база в состоянии учесть лишь текущую экономико-политическую ситуацию. В связи с чем, предложенный нами подход ориентирован, в первую очередь, на выявление основных тенденций и перспектив развития отраслей пищевой промышленности, а также способов нивелирования последствий беспрецедентного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санкционного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давления на отечественную экономику.</w:t>
      </w:r>
    </w:p>
    <w:p w:rsidR="00071C32" w:rsidRPr="00071C32" w:rsidRDefault="00071C32" w:rsidP="00071C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1C32">
        <w:rPr>
          <w:rFonts w:ascii="Times New Roman" w:hAnsi="Times New Roman" w:cs="Times New Roman"/>
          <w:sz w:val="24"/>
          <w:szCs w:val="24"/>
        </w:rPr>
        <w:t xml:space="preserve">На сегодняшний день основными трендами в развитии пищевой отрасли России, поддержанным на уровне государства, является максимальная поддержка процессов </w:t>
      </w:r>
      <w:proofErr w:type="spellStart"/>
      <w:r w:rsidRPr="00071C32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071C32">
        <w:rPr>
          <w:rFonts w:ascii="Times New Roman" w:hAnsi="Times New Roman" w:cs="Times New Roman"/>
          <w:sz w:val="24"/>
          <w:szCs w:val="24"/>
        </w:rPr>
        <w:t xml:space="preserve">, частичная легализация «параллельного» импорта, стимулирование инновационных разработок, а также поддержание </w:t>
      </w:r>
      <w:proofErr w:type="spellStart"/>
      <w:r w:rsidRPr="00071C32">
        <w:rPr>
          <w:rFonts w:ascii="Times New Roman" w:hAnsi="Times New Roman" w:cs="Times New Roman"/>
          <w:sz w:val="24"/>
          <w:szCs w:val="24"/>
        </w:rPr>
        <w:t>экспортоориентированных</w:t>
      </w:r>
      <w:proofErr w:type="spellEnd"/>
      <w:r w:rsidRPr="00071C32">
        <w:rPr>
          <w:rFonts w:ascii="Times New Roman" w:hAnsi="Times New Roman" w:cs="Times New Roman"/>
          <w:sz w:val="24"/>
          <w:szCs w:val="24"/>
        </w:rPr>
        <w:t xml:space="preserve"> отраслей и отдельных производителей.</w:t>
      </w:r>
      <w:r w:rsidR="00565B47">
        <w:rPr>
          <w:rFonts w:ascii="Times New Roman" w:hAnsi="Times New Roman" w:cs="Times New Roman"/>
          <w:sz w:val="24"/>
          <w:szCs w:val="24"/>
        </w:rPr>
        <w:t xml:space="preserve"> </w:t>
      </w:r>
      <w:r w:rsidRPr="00071C32">
        <w:rPr>
          <w:rFonts w:ascii="Times New Roman" w:hAnsi="Times New Roman" w:cs="Times New Roman"/>
          <w:sz w:val="24"/>
          <w:szCs w:val="24"/>
        </w:rPr>
        <w:t>Одним из перспективных направлений в развитии не только пищевой промышленности, но и всего российского агропромышленного комплекса является формирование крупных агрохолдингов, объединяющих в себе всю технологическую цепочку по выпуску конечного продукта и его поступления к потребителю, организованных по регионально-отраслевому принципу</w:t>
      </w:r>
      <w:r w:rsidR="00565B47">
        <w:rPr>
          <w:rFonts w:ascii="Times New Roman" w:hAnsi="Times New Roman" w:cs="Times New Roman"/>
          <w:sz w:val="24"/>
          <w:szCs w:val="24"/>
        </w:rPr>
        <w:t>. Кроме того, необходимо расширять географию международного сотрудничества за счет дружественно настроенных государств</w:t>
      </w:r>
      <w:r w:rsidR="009B127F">
        <w:rPr>
          <w:rFonts w:ascii="Times New Roman" w:hAnsi="Times New Roman" w:cs="Times New Roman"/>
          <w:sz w:val="24"/>
          <w:szCs w:val="24"/>
        </w:rPr>
        <w:t>, в частности, Ки</w:t>
      </w:r>
      <w:r w:rsidR="00927151">
        <w:rPr>
          <w:rFonts w:ascii="Times New Roman" w:hAnsi="Times New Roman" w:cs="Times New Roman"/>
          <w:sz w:val="24"/>
          <w:szCs w:val="24"/>
        </w:rPr>
        <w:t>тая</w:t>
      </w:r>
      <w:r w:rsidR="009B127F">
        <w:rPr>
          <w:rFonts w:ascii="Times New Roman" w:hAnsi="Times New Roman" w:cs="Times New Roman"/>
          <w:sz w:val="24"/>
          <w:szCs w:val="24"/>
        </w:rPr>
        <w:t>, Инди</w:t>
      </w:r>
      <w:r w:rsidR="00927151">
        <w:rPr>
          <w:rFonts w:ascii="Times New Roman" w:hAnsi="Times New Roman" w:cs="Times New Roman"/>
          <w:sz w:val="24"/>
          <w:szCs w:val="24"/>
        </w:rPr>
        <w:t>и</w:t>
      </w:r>
      <w:r w:rsidR="009B127F">
        <w:rPr>
          <w:rFonts w:ascii="Times New Roman" w:hAnsi="Times New Roman" w:cs="Times New Roman"/>
          <w:sz w:val="24"/>
          <w:szCs w:val="24"/>
        </w:rPr>
        <w:t>, Вьетнам</w:t>
      </w:r>
      <w:r w:rsidR="00927151">
        <w:rPr>
          <w:rFonts w:ascii="Times New Roman" w:hAnsi="Times New Roman" w:cs="Times New Roman"/>
          <w:sz w:val="24"/>
          <w:szCs w:val="24"/>
        </w:rPr>
        <w:t>а</w:t>
      </w:r>
      <w:r w:rsidR="009B127F">
        <w:rPr>
          <w:rFonts w:ascii="Times New Roman" w:hAnsi="Times New Roman" w:cs="Times New Roman"/>
          <w:sz w:val="24"/>
          <w:szCs w:val="24"/>
        </w:rPr>
        <w:t xml:space="preserve"> и т.п. </w:t>
      </w:r>
      <w:r w:rsidR="00927151">
        <w:rPr>
          <w:rFonts w:ascii="Times New Roman" w:hAnsi="Times New Roman" w:cs="Times New Roman"/>
          <w:sz w:val="24"/>
          <w:szCs w:val="24"/>
        </w:rPr>
        <w:t>Помимо</w:t>
      </w:r>
      <w:r w:rsidR="0025530B">
        <w:rPr>
          <w:rFonts w:ascii="Times New Roman" w:hAnsi="Times New Roman" w:cs="Times New Roman"/>
          <w:sz w:val="24"/>
          <w:szCs w:val="24"/>
        </w:rPr>
        <w:t xml:space="preserve"> вышеназванного</w:t>
      </w:r>
      <w:r w:rsidR="009B127F">
        <w:rPr>
          <w:rFonts w:ascii="Times New Roman" w:hAnsi="Times New Roman" w:cs="Times New Roman"/>
          <w:sz w:val="24"/>
          <w:szCs w:val="24"/>
        </w:rPr>
        <w:t xml:space="preserve">, </w:t>
      </w:r>
      <w:r w:rsidRPr="00071C32">
        <w:rPr>
          <w:rFonts w:ascii="Times New Roman" w:hAnsi="Times New Roman" w:cs="Times New Roman"/>
          <w:sz w:val="24"/>
          <w:szCs w:val="24"/>
        </w:rPr>
        <w:t xml:space="preserve">в развитии пищевой промышленности и всего АПК в целом, стоит указать тренд на развитие цифровых технологий, упрощающих взаимодействие всех участников рыночного процесса. </w:t>
      </w:r>
    </w:p>
    <w:p w:rsidR="008830C3" w:rsidRDefault="00071C32" w:rsidP="00071C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1C32">
        <w:rPr>
          <w:rFonts w:ascii="Times New Roman" w:hAnsi="Times New Roman" w:cs="Times New Roman"/>
          <w:sz w:val="24"/>
          <w:szCs w:val="24"/>
        </w:rPr>
        <w:lastRenderedPageBreak/>
        <w:t xml:space="preserve">Современные реалии российской экономики, сопряженные со значительными сложностями функционирования, связанными с внешним </w:t>
      </w:r>
      <w:proofErr w:type="spellStart"/>
      <w:r w:rsidRPr="00071C32">
        <w:rPr>
          <w:rFonts w:ascii="Times New Roman" w:hAnsi="Times New Roman" w:cs="Times New Roman"/>
          <w:sz w:val="24"/>
          <w:szCs w:val="24"/>
        </w:rPr>
        <w:t>санкционным</w:t>
      </w:r>
      <w:proofErr w:type="spellEnd"/>
      <w:r w:rsidRPr="00071C32">
        <w:rPr>
          <w:rFonts w:ascii="Times New Roman" w:hAnsi="Times New Roman" w:cs="Times New Roman"/>
          <w:sz w:val="24"/>
          <w:szCs w:val="24"/>
        </w:rPr>
        <w:t xml:space="preserve"> давлением, а также еще не до конца пройденным кризисом 2020 года, все же предоставляют перспективу успешного дальнейшего развития всех сфер, включая агропромышленный комплекс страны. </w:t>
      </w:r>
      <w:r w:rsidR="00B723A2">
        <w:rPr>
          <w:rFonts w:ascii="Times New Roman" w:hAnsi="Times New Roman" w:cs="Times New Roman"/>
          <w:sz w:val="24"/>
          <w:szCs w:val="24"/>
        </w:rPr>
        <w:t xml:space="preserve">На сегодняшний день основной задачей государства является формирование условий, при которых максимально проявились бы все перспективные направления в развитии пищевой и перерабатывающей промышленности. </w:t>
      </w:r>
      <w:r w:rsidRPr="00071C32">
        <w:rPr>
          <w:rFonts w:ascii="Times New Roman" w:hAnsi="Times New Roman" w:cs="Times New Roman"/>
          <w:sz w:val="24"/>
          <w:szCs w:val="24"/>
        </w:rPr>
        <w:t>При этом научно обоснованный подход к выявлению перспективных тенденций функционирования как внутреннего, так и внешнего продовольственных рынков в долгосрочном аспекте направлен на достижение целей продовольственной безопасности страны, а также укрепление ее экспортного потенциала.</w:t>
      </w:r>
    </w:p>
    <w:p w:rsidR="001D2B31" w:rsidRDefault="001D2B31" w:rsidP="00071C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830C3" w:rsidRPr="001D2B31" w:rsidRDefault="00CA2BB6" w:rsidP="001D2B3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2B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1D2B31" w:rsidRPr="001D2B31">
        <w:rPr>
          <w:rFonts w:ascii="Times New Roman" w:hAnsi="Times New Roman" w:cs="Times New Roman"/>
          <w:b/>
          <w:sz w:val="24"/>
          <w:szCs w:val="24"/>
        </w:rPr>
        <w:t>:</w:t>
      </w:r>
    </w:p>
    <w:p w:rsidR="005226EB" w:rsidRDefault="001D2B31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382AC4" w:rsidRPr="00382AC4">
        <w:t xml:space="preserve"> </w:t>
      </w:r>
      <w:r w:rsidR="00382AC4" w:rsidRPr="00382AC4">
        <w:rPr>
          <w:rFonts w:ascii="Times New Roman" w:hAnsi="Times New Roman" w:cs="Times New Roman"/>
          <w:sz w:val="24"/>
          <w:szCs w:val="24"/>
        </w:rPr>
        <w:t>Доктрина продовольственной безопасности Российской Федерации (Утв. Указом Президента Российской Федерации от 21 января 2020 г. № 20) / Режим доступа: https://mcx.gov.ru/upload/iblock/3e5/3e5941f295a77fdcfed2014f82ecf37f.pdf?ysclid=luo6qtpi3s68233873</w:t>
      </w:r>
    </w:p>
    <w:p w:rsidR="00382AC4" w:rsidRPr="00CA2BB6" w:rsidRDefault="00382AC4" w:rsidP="004A68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382AC4">
        <w:rPr>
          <w:rFonts w:ascii="Times New Roman" w:hAnsi="Times New Roman" w:cs="Times New Roman"/>
          <w:sz w:val="24"/>
          <w:szCs w:val="24"/>
        </w:rPr>
        <w:t xml:space="preserve">Паспорт Государственной программы развития сельского хозяйства и регулирования рынков сельскохозяйственной продукции, сырья и продовольствия с изменениями, утвержденными решением Председателя Правительства Российской Федерации М.В. </w:t>
      </w:r>
      <w:proofErr w:type="spellStart"/>
      <w:r w:rsidRPr="00382AC4">
        <w:rPr>
          <w:rFonts w:ascii="Times New Roman" w:hAnsi="Times New Roman" w:cs="Times New Roman"/>
          <w:sz w:val="24"/>
          <w:szCs w:val="24"/>
        </w:rPr>
        <w:t>Мишустина</w:t>
      </w:r>
      <w:proofErr w:type="spellEnd"/>
      <w:r w:rsidRPr="00382AC4">
        <w:rPr>
          <w:rFonts w:ascii="Times New Roman" w:hAnsi="Times New Roman" w:cs="Times New Roman"/>
          <w:sz w:val="24"/>
          <w:szCs w:val="24"/>
        </w:rPr>
        <w:t xml:space="preserve"> от 29 декабря 2023 г. № ММ-П11-22247 / Режим доступа: </w:t>
      </w:r>
      <w:hyperlink r:id="rId10" w:history="1">
        <w:r w:rsidRPr="00CA2BB6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https://mcx.gov.ru/upload/iblock/1b6/kl53xwrqkxzembkfiimgvxu32dk7q0z0.pdf</w:t>
        </w:r>
      </w:hyperlink>
    </w:p>
    <w:p w:rsidR="007D7A0E" w:rsidRPr="007D7A0E" w:rsidRDefault="00382AC4" w:rsidP="001641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382AC4">
        <w:rPr>
          <w:rFonts w:ascii="Times New Roman" w:hAnsi="Times New Roman" w:cs="Times New Roman"/>
          <w:sz w:val="24"/>
          <w:szCs w:val="24"/>
        </w:rPr>
        <w:t>Трифонова Е.Н. Тенденции развития пищевой и перерабатывающей промышленности России в условиях новых глобальных вызовов / Е. Н. Трифонова. – DOI 10.32651/241-93. – Текст: непосредственный // Экономика сельского хозяйства России. – 2024. – № 1. – (Агропродовольственный рынок). – С. 93-100.</w:t>
      </w:r>
      <w:bookmarkStart w:id="0" w:name="_GoBack"/>
      <w:bookmarkEnd w:id="0"/>
    </w:p>
    <w:sectPr w:rsidR="007D7A0E" w:rsidRPr="007D7A0E" w:rsidSect="00A3650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309" w:rsidRDefault="00297309" w:rsidP="00DE389D">
      <w:pPr>
        <w:spacing w:after="0" w:line="240" w:lineRule="auto"/>
      </w:pPr>
      <w:r>
        <w:separator/>
      </w:r>
    </w:p>
  </w:endnote>
  <w:endnote w:type="continuationSeparator" w:id="0">
    <w:p w:rsidR="00297309" w:rsidRDefault="00297309" w:rsidP="00DE38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309" w:rsidRDefault="00297309" w:rsidP="00DE389D">
      <w:pPr>
        <w:spacing w:after="0" w:line="240" w:lineRule="auto"/>
      </w:pPr>
      <w:r>
        <w:separator/>
      </w:r>
    </w:p>
  </w:footnote>
  <w:footnote w:type="continuationSeparator" w:id="0">
    <w:p w:rsidR="00297309" w:rsidRDefault="00297309" w:rsidP="00DE389D">
      <w:pPr>
        <w:spacing w:after="0" w:line="240" w:lineRule="auto"/>
      </w:pPr>
      <w:r>
        <w:continuationSeparator/>
      </w:r>
    </w:p>
  </w:footnote>
  <w:footnote w:id="1">
    <w:p w:rsidR="00DE389D" w:rsidRPr="00DE389D" w:rsidRDefault="00DE389D" w:rsidP="00DE389D">
      <w:pPr>
        <w:pStyle w:val="a3"/>
        <w:jc w:val="both"/>
        <w:rPr>
          <w:rFonts w:ascii="Times New Roman" w:hAnsi="Times New Roman" w:cs="Times New Roman"/>
        </w:rPr>
      </w:pPr>
      <w:r w:rsidRPr="00DE389D">
        <w:rPr>
          <w:rStyle w:val="a5"/>
          <w:rFonts w:ascii="Times New Roman" w:hAnsi="Times New Roman" w:cs="Times New Roman"/>
        </w:rPr>
        <w:footnoteRef/>
      </w:r>
      <w:r w:rsidRPr="00DE389D">
        <w:rPr>
          <w:rFonts w:ascii="Times New Roman" w:hAnsi="Times New Roman" w:cs="Times New Roman"/>
        </w:rPr>
        <w:t xml:space="preserve"> Трифонова Елена Николаевна, к.э.н., доцент, старший научный сотрудник лаборатории инновационного развития производственного потенциала агропромышленного комплекса, Институт аграрных проблем</w:t>
      </w:r>
      <w:r w:rsidR="004A6818">
        <w:rPr>
          <w:rFonts w:ascii="Times New Roman" w:hAnsi="Times New Roman" w:cs="Times New Roman"/>
        </w:rPr>
        <w:t xml:space="preserve"> - </w:t>
      </w:r>
      <w:r w:rsidR="004A6818" w:rsidRPr="004A6818">
        <w:rPr>
          <w:rFonts w:ascii="Times New Roman" w:hAnsi="Times New Roman" w:cs="Times New Roman"/>
        </w:rPr>
        <w:t>обособленное структурное подразделение</w:t>
      </w:r>
      <w:r w:rsidRPr="00DE389D">
        <w:rPr>
          <w:rFonts w:ascii="Times New Roman" w:hAnsi="Times New Roman" w:cs="Times New Roman"/>
        </w:rPr>
        <w:t xml:space="preserve"> ФИЦ «Саратовский научный центр РАН» (410012 Россия, г. Саратов, ул. Московская, 94; E-</w:t>
      </w:r>
      <w:proofErr w:type="spellStart"/>
      <w:r w:rsidRPr="00DE389D">
        <w:rPr>
          <w:rFonts w:ascii="Times New Roman" w:hAnsi="Times New Roman" w:cs="Times New Roman"/>
        </w:rPr>
        <w:t>mail</w:t>
      </w:r>
      <w:proofErr w:type="spellEnd"/>
      <w:r w:rsidRPr="00DE389D">
        <w:rPr>
          <w:rFonts w:ascii="Times New Roman" w:hAnsi="Times New Roman" w:cs="Times New Roman"/>
        </w:rPr>
        <w:t xml:space="preserve">: </w:t>
      </w:r>
      <w:proofErr w:type="spellStart"/>
      <w:r w:rsidRPr="00DE389D">
        <w:rPr>
          <w:rFonts w:ascii="Times New Roman" w:hAnsi="Times New Roman" w:cs="Times New Roman"/>
          <w:lang w:val="en-US"/>
        </w:rPr>
        <w:t>trif</w:t>
      </w:r>
      <w:proofErr w:type="spellEnd"/>
      <w:r w:rsidRPr="00DE389D">
        <w:rPr>
          <w:rFonts w:ascii="Times New Roman" w:hAnsi="Times New Roman" w:cs="Times New Roman"/>
        </w:rPr>
        <w:t>-</w:t>
      </w:r>
      <w:proofErr w:type="spellStart"/>
      <w:r w:rsidRPr="00DE389D">
        <w:rPr>
          <w:rFonts w:ascii="Times New Roman" w:hAnsi="Times New Roman" w:cs="Times New Roman"/>
          <w:lang w:val="en-US"/>
        </w:rPr>
        <w:t>elena</w:t>
      </w:r>
      <w:proofErr w:type="spellEnd"/>
      <w:r w:rsidRPr="00DE389D">
        <w:rPr>
          <w:rFonts w:ascii="Times New Roman" w:hAnsi="Times New Roman" w:cs="Times New Roman"/>
        </w:rPr>
        <w:t>@</w:t>
      </w:r>
      <w:proofErr w:type="spellStart"/>
      <w:r w:rsidRPr="00DE389D">
        <w:rPr>
          <w:rFonts w:ascii="Times New Roman" w:hAnsi="Times New Roman" w:cs="Times New Roman"/>
          <w:lang w:val="en-US"/>
        </w:rPr>
        <w:t>yandex</w:t>
      </w:r>
      <w:proofErr w:type="spellEnd"/>
      <w:r w:rsidRPr="00DE389D">
        <w:rPr>
          <w:rFonts w:ascii="Times New Roman" w:hAnsi="Times New Roman" w:cs="Times New Roman"/>
        </w:rPr>
        <w:t>.</w:t>
      </w:r>
      <w:proofErr w:type="spellStart"/>
      <w:r w:rsidRPr="00DE389D">
        <w:rPr>
          <w:rFonts w:ascii="Times New Roman" w:hAnsi="Times New Roman" w:cs="Times New Roman"/>
          <w:lang w:val="en-US"/>
        </w:rPr>
        <w:t>ru</w:t>
      </w:r>
      <w:proofErr w:type="spellEnd"/>
      <w:r w:rsidRPr="00DE389D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26158"/>
    <w:multiLevelType w:val="hybridMultilevel"/>
    <w:tmpl w:val="D0724E04"/>
    <w:lvl w:ilvl="0" w:tplc="D8EC925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4E4356"/>
    <w:multiLevelType w:val="hybridMultilevel"/>
    <w:tmpl w:val="60C4D86C"/>
    <w:lvl w:ilvl="0" w:tplc="3562807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643668"/>
    <w:multiLevelType w:val="hybridMultilevel"/>
    <w:tmpl w:val="AEA0B090"/>
    <w:lvl w:ilvl="0" w:tplc="DE40B65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A65914"/>
    <w:multiLevelType w:val="hybridMultilevel"/>
    <w:tmpl w:val="EDCE9AF8"/>
    <w:lvl w:ilvl="0" w:tplc="64BE500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B21"/>
    <w:rsid w:val="00026CD0"/>
    <w:rsid w:val="00071C32"/>
    <w:rsid w:val="000A2015"/>
    <w:rsid w:val="000E172A"/>
    <w:rsid w:val="001135B0"/>
    <w:rsid w:val="001641C6"/>
    <w:rsid w:val="00184ED6"/>
    <w:rsid w:val="001C2AEB"/>
    <w:rsid w:val="001C3956"/>
    <w:rsid w:val="001D2B31"/>
    <w:rsid w:val="00253A6C"/>
    <w:rsid w:val="0025530B"/>
    <w:rsid w:val="00295CEB"/>
    <w:rsid w:val="00297309"/>
    <w:rsid w:val="002B0050"/>
    <w:rsid w:val="002B1B21"/>
    <w:rsid w:val="002D3B1B"/>
    <w:rsid w:val="00333487"/>
    <w:rsid w:val="00343587"/>
    <w:rsid w:val="00357450"/>
    <w:rsid w:val="00371DA4"/>
    <w:rsid w:val="00382AC4"/>
    <w:rsid w:val="00430826"/>
    <w:rsid w:val="004421E7"/>
    <w:rsid w:val="0048531C"/>
    <w:rsid w:val="004A6818"/>
    <w:rsid w:val="004B3103"/>
    <w:rsid w:val="005226EB"/>
    <w:rsid w:val="00524416"/>
    <w:rsid w:val="00565B47"/>
    <w:rsid w:val="00566620"/>
    <w:rsid w:val="005A13FA"/>
    <w:rsid w:val="005F5FF8"/>
    <w:rsid w:val="005F6027"/>
    <w:rsid w:val="00637BDE"/>
    <w:rsid w:val="00666158"/>
    <w:rsid w:val="00684AEA"/>
    <w:rsid w:val="0069792B"/>
    <w:rsid w:val="0072302C"/>
    <w:rsid w:val="00736973"/>
    <w:rsid w:val="00774FD5"/>
    <w:rsid w:val="007854AD"/>
    <w:rsid w:val="007867D4"/>
    <w:rsid w:val="007D7A0E"/>
    <w:rsid w:val="007E2EF2"/>
    <w:rsid w:val="00862447"/>
    <w:rsid w:val="008830C3"/>
    <w:rsid w:val="008D40EA"/>
    <w:rsid w:val="008E7142"/>
    <w:rsid w:val="00927151"/>
    <w:rsid w:val="0098114F"/>
    <w:rsid w:val="009851F6"/>
    <w:rsid w:val="00997524"/>
    <w:rsid w:val="009B0EFB"/>
    <w:rsid w:val="009B127F"/>
    <w:rsid w:val="009D6DF4"/>
    <w:rsid w:val="009F5E04"/>
    <w:rsid w:val="00A36506"/>
    <w:rsid w:val="00A60256"/>
    <w:rsid w:val="00A951E4"/>
    <w:rsid w:val="00AD771A"/>
    <w:rsid w:val="00AE0158"/>
    <w:rsid w:val="00AF7DF7"/>
    <w:rsid w:val="00B178C1"/>
    <w:rsid w:val="00B723A2"/>
    <w:rsid w:val="00BD7D03"/>
    <w:rsid w:val="00BE1DBA"/>
    <w:rsid w:val="00BE2FF2"/>
    <w:rsid w:val="00BF0061"/>
    <w:rsid w:val="00C0353E"/>
    <w:rsid w:val="00C46BD8"/>
    <w:rsid w:val="00C93723"/>
    <w:rsid w:val="00CA2BB6"/>
    <w:rsid w:val="00D64A34"/>
    <w:rsid w:val="00DA5266"/>
    <w:rsid w:val="00DC3AA5"/>
    <w:rsid w:val="00DE0219"/>
    <w:rsid w:val="00DE389D"/>
    <w:rsid w:val="00E074CA"/>
    <w:rsid w:val="00E456C7"/>
    <w:rsid w:val="00E567C3"/>
    <w:rsid w:val="00E6283F"/>
    <w:rsid w:val="00E92646"/>
    <w:rsid w:val="00E970ED"/>
    <w:rsid w:val="00EC6CBA"/>
    <w:rsid w:val="00F275F8"/>
    <w:rsid w:val="00F91D04"/>
    <w:rsid w:val="00FF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35395"/>
  <w15:docId w15:val="{60F468EE-00D9-40CD-9B96-1DB881F8A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38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E389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E389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E389D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7E2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E2EF2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4B3103"/>
    <w:pPr>
      <w:ind w:left="720"/>
      <w:contextualSpacing/>
    </w:pPr>
  </w:style>
  <w:style w:type="paragraph" w:styleId="a9">
    <w:name w:val="Normal (Web)"/>
    <w:basedOn w:val="a"/>
    <w:uiPriority w:val="99"/>
    <w:unhideWhenUsed/>
    <w:rsid w:val="00184E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883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F5E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653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mcx.gov.ru/upload/iblock/1b6/kl53xwrqkxzembkfiimgvxu32dk7q0z0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osstat.gov.ru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package" Target="../embeddings/_____Microsoft_Excel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1541368139793337"/>
          <c:y val="3.3257747543461828E-2"/>
          <c:w val="0.80721067524217127"/>
          <c:h val="0.5924887020701359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Лист1!$B$4</c:f>
              <c:strCache>
                <c:ptCount val="1"/>
                <c:pt idx="0">
                  <c:v>Объем отгруженных товаров при производстве пищевых продуктов, напитков и табака, млрд.руб.</c:v>
                </c:pt>
              </c:strCache>
            </c:strRef>
          </c:tx>
          <c:spPr>
            <a:gradFill>
              <a:gsLst>
                <a:gs pos="0">
                  <a:sysClr val="windowText" lastClr="000000"/>
                </a:gs>
                <a:gs pos="50000">
                  <a:srgbClr val="5B9BD5">
                    <a:tint val="44500"/>
                    <a:satMod val="160000"/>
                  </a:srgbClr>
                </a:gs>
                <a:gs pos="100000">
                  <a:srgbClr val="5B9BD5">
                    <a:tint val="23500"/>
                    <a:satMod val="160000"/>
                  </a:srgbClr>
                </a:gs>
              </a:gsLst>
              <a:lin ang="5400000" scaled="0"/>
            </a:gradFill>
            <a:ln>
              <a:solidFill>
                <a:sysClr val="windowText" lastClr="000000"/>
              </a:solidFill>
            </a:ln>
            <a:effectLst/>
          </c:spPr>
          <c:invertIfNegative val="0"/>
          <c:trendline>
            <c:spPr>
              <a:ln w="19050" cap="rnd">
                <a:solidFill>
                  <a:sysClr val="windowText" lastClr="000000"/>
                </a:solidFill>
                <a:prstDash val="sysDot"/>
              </a:ln>
              <a:effectLst/>
            </c:spPr>
            <c:trendlineType val="linear"/>
            <c:forward val="1"/>
            <c:dispRSqr val="0"/>
            <c:dispEq val="0"/>
          </c:trendline>
          <c:cat>
            <c:numRef>
              <c:f>Лист1!$C$3:$N$3</c:f>
              <c:numCache>
                <c:formatCode>General</c:formatCode>
                <c:ptCount val="12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  <c:pt idx="10">
                  <c:v>2020</c:v>
                </c:pt>
                <c:pt idx="11">
                  <c:v>2021</c:v>
                </c:pt>
              </c:numCache>
            </c:numRef>
          </c:cat>
          <c:val>
            <c:numRef>
              <c:f>Лист1!$C$4:$N$4</c:f>
              <c:numCache>
                <c:formatCode>General</c:formatCode>
                <c:ptCount val="12"/>
                <c:pt idx="0">
                  <c:v>3262</c:v>
                </c:pt>
                <c:pt idx="1">
                  <c:v>3602</c:v>
                </c:pt>
                <c:pt idx="2">
                  <c:v>4001</c:v>
                </c:pt>
                <c:pt idx="3">
                  <c:v>4272</c:v>
                </c:pt>
                <c:pt idx="4">
                  <c:v>4840</c:v>
                </c:pt>
                <c:pt idx="5">
                  <c:v>6076</c:v>
                </c:pt>
                <c:pt idx="6">
                  <c:v>6472</c:v>
                </c:pt>
                <c:pt idx="7">
                  <c:v>6352</c:v>
                </c:pt>
                <c:pt idx="8">
                  <c:v>6797</c:v>
                </c:pt>
                <c:pt idx="9">
                  <c:v>7444</c:v>
                </c:pt>
                <c:pt idx="10">
                  <c:v>8427</c:v>
                </c:pt>
                <c:pt idx="11">
                  <c:v>9784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7E1-471D-8CF0-694259B83C1E}"/>
            </c:ext>
          </c:extLst>
        </c:ser>
        <c:ser>
          <c:idx val="1"/>
          <c:order val="1"/>
          <c:tx>
            <c:strRef>
              <c:f>Лист1!$B$5</c:f>
              <c:strCache>
                <c:ptCount val="1"/>
                <c:pt idx="0">
                  <c:v>Экспорт продовольственных товаров и сельскохозсырья (кроме текстильного), млн.долл.США</c:v>
                </c:pt>
              </c:strCache>
            </c:strRef>
          </c:tx>
          <c:spPr>
            <a:pattFill prst="zigZag">
              <a:fgClr>
                <a:sysClr val="windowText" lastClr="000000"/>
              </a:fgClr>
              <a:bgClr>
                <a:sysClr val="window" lastClr="FFFFFF"/>
              </a:bgClr>
            </a:pattFill>
            <a:ln w="28575" cap="rnd">
              <a:solidFill>
                <a:sysClr val="windowText" lastClr="000000"/>
              </a:solidFill>
              <a:round/>
            </a:ln>
            <a:effectLst/>
          </c:spPr>
          <c:invertIfNegative val="0"/>
          <c:trendline>
            <c:spPr>
              <a:ln w="19050" cap="rnd">
                <a:solidFill>
                  <a:sysClr val="windowText" lastClr="000000"/>
                </a:solidFill>
                <a:prstDash val="sysDash"/>
              </a:ln>
              <a:effectLst/>
            </c:spPr>
            <c:trendlineType val="poly"/>
            <c:order val="4"/>
            <c:forward val="1"/>
            <c:dispRSqr val="0"/>
            <c:dispEq val="0"/>
          </c:trendline>
          <c:cat>
            <c:numRef>
              <c:f>Лист1!$C$3:$N$3</c:f>
              <c:numCache>
                <c:formatCode>General</c:formatCode>
                <c:ptCount val="12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  <c:pt idx="10">
                  <c:v>2020</c:v>
                </c:pt>
                <c:pt idx="11">
                  <c:v>2021</c:v>
                </c:pt>
              </c:numCache>
            </c:numRef>
          </c:cat>
          <c:val>
            <c:numRef>
              <c:f>Лист1!$C$5:$N$5</c:f>
              <c:numCache>
                <c:formatCode>General</c:formatCode>
                <c:ptCount val="12"/>
                <c:pt idx="0">
                  <c:v>8755</c:v>
                </c:pt>
                <c:pt idx="1">
                  <c:v>13330</c:v>
                </c:pt>
                <c:pt idx="2">
                  <c:v>16769</c:v>
                </c:pt>
                <c:pt idx="3">
                  <c:v>16262</c:v>
                </c:pt>
                <c:pt idx="4">
                  <c:v>18982</c:v>
                </c:pt>
                <c:pt idx="5">
                  <c:v>16215</c:v>
                </c:pt>
                <c:pt idx="6">
                  <c:v>17070</c:v>
                </c:pt>
                <c:pt idx="7">
                  <c:v>20728</c:v>
                </c:pt>
                <c:pt idx="8">
                  <c:v>24958</c:v>
                </c:pt>
                <c:pt idx="9">
                  <c:v>24837</c:v>
                </c:pt>
                <c:pt idx="10">
                  <c:v>29653</c:v>
                </c:pt>
                <c:pt idx="11">
                  <c:v>35965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7E1-471D-8CF0-694259B83C1E}"/>
            </c:ext>
          </c:extLst>
        </c:ser>
        <c:ser>
          <c:idx val="2"/>
          <c:order val="2"/>
          <c:tx>
            <c:strRef>
              <c:f>Лист1!$B$6</c:f>
              <c:strCache>
                <c:ptCount val="1"/>
                <c:pt idx="0">
                  <c:v>Импорт продовольственных товаров и сельскохозсырья (кроме текстильного), млн.долл.США</c:v>
                </c:pt>
              </c:strCache>
            </c:strRef>
          </c:tx>
          <c:spPr>
            <a:ln w="28575" cap="rnd">
              <a:solidFill>
                <a:sysClr val="windowText" lastClr="000000"/>
              </a:solidFill>
              <a:round/>
            </a:ln>
            <a:effectLst/>
          </c:spPr>
          <c:invertIfNegative val="0"/>
          <c:trendline>
            <c:spPr>
              <a:ln w="19050" cap="rnd">
                <a:solidFill>
                  <a:sysClr val="windowText" lastClr="000000"/>
                </a:solidFill>
                <a:prstDash val="lgDash"/>
              </a:ln>
              <a:effectLst/>
            </c:spPr>
            <c:trendlineType val="poly"/>
            <c:order val="4"/>
            <c:forward val="1"/>
            <c:dispRSqr val="0"/>
            <c:dispEq val="0"/>
          </c:trendline>
          <c:cat>
            <c:numRef>
              <c:f>Лист1!$C$3:$N$3</c:f>
              <c:numCache>
                <c:formatCode>General</c:formatCode>
                <c:ptCount val="12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  <c:pt idx="10">
                  <c:v>2020</c:v>
                </c:pt>
                <c:pt idx="11">
                  <c:v>2021</c:v>
                </c:pt>
              </c:numCache>
            </c:numRef>
          </c:cat>
          <c:val>
            <c:numRef>
              <c:f>Лист1!$C$6:$N$6</c:f>
              <c:numCache>
                <c:formatCode>General</c:formatCode>
                <c:ptCount val="12"/>
                <c:pt idx="0">
                  <c:v>36398</c:v>
                </c:pt>
                <c:pt idx="1">
                  <c:v>42535</c:v>
                </c:pt>
                <c:pt idx="2">
                  <c:v>40655</c:v>
                </c:pt>
                <c:pt idx="3">
                  <c:v>43255</c:v>
                </c:pt>
                <c:pt idx="4">
                  <c:v>39957</c:v>
                </c:pt>
                <c:pt idx="5">
                  <c:v>26650</c:v>
                </c:pt>
                <c:pt idx="6">
                  <c:v>25031</c:v>
                </c:pt>
                <c:pt idx="7">
                  <c:v>28952</c:v>
                </c:pt>
                <c:pt idx="8">
                  <c:v>29796</c:v>
                </c:pt>
                <c:pt idx="9">
                  <c:v>29969</c:v>
                </c:pt>
                <c:pt idx="10">
                  <c:v>29767</c:v>
                </c:pt>
                <c:pt idx="11">
                  <c:v>34042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7E1-471D-8CF0-694259B83C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47617280"/>
        <c:axId val="147618816"/>
      </c:barChart>
      <c:catAx>
        <c:axId val="1476172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7618816"/>
        <c:crosses val="autoZero"/>
        <c:auto val="1"/>
        <c:lblAlgn val="ctr"/>
        <c:lblOffset val="100"/>
        <c:noMultiLvlLbl val="0"/>
      </c:catAx>
      <c:valAx>
        <c:axId val="1476188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76172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2.1636597227148408E-2"/>
          <c:y val="0.6987810076372033"/>
          <c:w val="0.97836340277285161"/>
          <c:h val="0.3012189923627967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  <c:userShapes r:id="rId3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0.00676</cdr:x>
      <cdr:y>0.00794</cdr:y>
    </cdr:from>
    <cdr:to>
      <cdr:x>0.0503</cdr:x>
      <cdr:y>0.22562</cdr:y>
    </cdr:to>
    <cdr:sp macro="" textlink="">
      <cdr:nvSpPr>
        <cdr:cNvPr id="2" name="TextBox 1"/>
        <cdr:cNvSpPr txBox="1"/>
      </cdr:nvSpPr>
      <cdr:spPr>
        <a:xfrm xmlns:a="http://schemas.openxmlformats.org/drawingml/2006/main" rot="16200000">
          <a:off x="-276223" y="352425"/>
          <a:ext cx="914400" cy="2762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100"/>
            <a:t>млрд. руб.</a:t>
          </a:r>
        </a:p>
      </cdr:txBody>
    </cdr:sp>
  </cdr:relSizeAnchor>
  <cdr:relSizeAnchor xmlns:cdr="http://schemas.openxmlformats.org/drawingml/2006/chartDrawing">
    <cdr:from>
      <cdr:x>0.93769</cdr:x>
      <cdr:y>0</cdr:y>
    </cdr:from>
    <cdr:to>
      <cdr:x>0.98874</cdr:x>
      <cdr:y>0.25624</cdr:y>
    </cdr:to>
    <cdr:sp macro="" textlink="">
      <cdr:nvSpPr>
        <cdr:cNvPr id="3" name="TextBox 2"/>
        <cdr:cNvSpPr txBox="1"/>
      </cdr:nvSpPr>
      <cdr:spPr>
        <a:xfrm xmlns:a="http://schemas.openxmlformats.org/drawingml/2006/main" rot="16200000">
          <a:off x="5572125" y="376238"/>
          <a:ext cx="1076325" cy="3238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100"/>
            <a:t>млн.долл.США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3ECFE2-2FF0-45DE-80BE-2FC7D17ED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4</Pages>
  <Words>1394</Words>
  <Characters>7952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78</cp:revision>
  <dcterms:created xsi:type="dcterms:W3CDTF">2024-04-28T13:15:00Z</dcterms:created>
  <dcterms:modified xsi:type="dcterms:W3CDTF">2024-05-06T14:08:00Z</dcterms:modified>
</cp:coreProperties>
</file>