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04B0" w:rsidRPr="00783851" w:rsidRDefault="00B904B0" w:rsidP="007E46B5">
      <w:pPr>
        <w:pStyle w:val="2"/>
        <w:jc w:val="right"/>
        <w:rPr>
          <w:rFonts w:ascii="Times New Roman" w:hAnsi="Times New Roman" w:cs="Times New Roman"/>
        </w:rPr>
      </w:pPr>
      <w:r w:rsidRPr="007E46B5">
        <w:rPr>
          <w:rFonts w:ascii="Times New Roman" w:hAnsi="Times New Roman" w:cs="Times New Roman"/>
        </w:rPr>
        <w:t>Д.В. </w:t>
      </w:r>
      <w:proofErr w:type="spellStart"/>
      <w:r w:rsidRPr="007E46B5">
        <w:rPr>
          <w:rFonts w:ascii="Times New Roman" w:hAnsi="Times New Roman" w:cs="Times New Roman"/>
        </w:rPr>
        <w:t>Колечков</w:t>
      </w:r>
      <w:proofErr w:type="spellEnd"/>
      <w:r w:rsidR="007E46B5">
        <w:rPr>
          <w:rStyle w:val="a3"/>
          <w:rFonts w:ascii="Times New Roman" w:hAnsi="Times New Roman" w:cs="Times New Roman"/>
        </w:rPr>
        <w:footnoteReference w:id="1"/>
      </w:r>
    </w:p>
    <w:p w:rsidR="00B904B0" w:rsidRPr="007E46B5" w:rsidRDefault="005111F7" w:rsidP="00B904B0">
      <w:pPr>
        <w:pStyle w:val="4"/>
        <w:rPr>
          <w:rFonts w:ascii="Times New Roman" w:hAnsi="Times New Roman" w:cs="Times New Roman"/>
          <w:sz w:val="24"/>
          <w:szCs w:val="24"/>
        </w:rPr>
      </w:pPr>
      <w:r>
        <w:rPr>
          <w:rFonts w:ascii="Times New Roman" w:eastAsiaTheme="minorHAnsi" w:hAnsi="Times New Roman" w:cs="Times New Roman"/>
          <w:sz w:val="24"/>
          <w:szCs w:val="24"/>
          <w:lang w:eastAsia="en-US"/>
        </w:rPr>
        <w:t>Пространственное</w:t>
      </w:r>
      <w:r w:rsidR="007E46B5" w:rsidRPr="007E46B5">
        <w:rPr>
          <w:rFonts w:ascii="Times New Roman" w:eastAsiaTheme="minorHAnsi" w:hAnsi="Times New Roman" w:cs="Times New Roman"/>
          <w:sz w:val="24"/>
          <w:szCs w:val="24"/>
          <w:lang w:eastAsia="en-US"/>
        </w:rPr>
        <w:t xml:space="preserve"> </w:t>
      </w:r>
      <w:r w:rsidR="007E46B5">
        <w:rPr>
          <w:rFonts w:ascii="Times New Roman" w:eastAsiaTheme="minorHAnsi" w:hAnsi="Times New Roman" w:cs="Times New Roman"/>
          <w:sz w:val="24"/>
          <w:szCs w:val="24"/>
          <w:lang w:eastAsia="en-US"/>
        </w:rPr>
        <w:t>развитие</w:t>
      </w:r>
      <w:r w:rsidR="007E46B5" w:rsidRPr="007E46B5">
        <w:rPr>
          <w:rFonts w:ascii="Times New Roman" w:eastAsiaTheme="minorHAnsi" w:hAnsi="Times New Roman" w:cs="Times New Roman"/>
          <w:sz w:val="24"/>
          <w:szCs w:val="24"/>
          <w:lang w:eastAsia="en-US"/>
        </w:rPr>
        <w:t xml:space="preserve"> строительной отрасли </w:t>
      </w:r>
      <w:r w:rsidR="00B904B0" w:rsidRPr="007E46B5">
        <w:rPr>
          <w:rFonts w:ascii="Times New Roman" w:eastAsiaTheme="minorHAnsi" w:hAnsi="Times New Roman" w:cs="Times New Roman"/>
          <w:sz w:val="24"/>
          <w:szCs w:val="24"/>
          <w:lang w:eastAsia="en-US"/>
        </w:rPr>
        <w:br/>
      </w:r>
      <w:r w:rsidR="007E46B5" w:rsidRPr="007E46B5">
        <w:rPr>
          <w:rFonts w:ascii="Times New Roman" w:eastAsiaTheme="minorHAnsi" w:hAnsi="Times New Roman" w:cs="Times New Roman"/>
          <w:sz w:val="24"/>
          <w:szCs w:val="24"/>
          <w:lang w:eastAsia="en-US"/>
        </w:rPr>
        <w:t>северных регионов</w:t>
      </w:r>
    </w:p>
    <w:p w:rsidR="00B904B0" w:rsidRPr="00286864" w:rsidRDefault="00B904B0" w:rsidP="005111F7">
      <w:pPr>
        <w:autoSpaceDE w:val="0"/>
        <w:autoSpaceDN w:val="0"/>
        <w:adjustRightInd w:val="0"/>
        <w:ind w:firstLine="425"/>
        <w:jc w:val="both"/>
        <w:rPr>
          <w:sz w:val="22"/>
          <w:szCs w:val="22"/>
        </w:rPr>
      </w:pPr>
      <w:r w:rsidRPr="00286864">
        <w:rPr>
          <w:b/>
          <w:sz w:val="22"/>
          <w:szCs w:val="22"/>
        </w:rPr>
        <w:t>Аннотация.</w:t>
      </w:r>
      <w:r>
        <w:rPr>
          <w:sz w:val="22"/>
          <w:szCs w:val="22"/>
        </w:rPr>
        <w:t xml:space="preserve"> </w:t>
      </w:r>
      <w:r w:rsidRPr="005111F7">
        <w:rPr>
          <w:i/>
          <w:sz w:val="22"/>
          <w:szCs w:val="22"/>
        </w:rPr>
        <w:t>В результате оценки производительности труда, основных фондов, доли валовой добавленной стоимости в экономике, инвестиции в основной капитал выявлена значительная пространственная дифференциация в строительстве на Севере</w:t>
      </w:r>
      <w:r>
        <w:rPr>
          <w:sz w:val="22"/>
          <w:szCs w:val="22"/>
        </w:rPr>
        <w:t xml:space="preserve">. </w:t>
      </w:r>
    </w:p>
    <w:p w:rsidR="00B904B0" w:rsidRPr="005111F7" w:rsidRDefault="00B904B0" w:rsidP="005111F7">
      <w:pPr>
        <w:ind w:firstLine="425"/>
        <w:jc w:val="both"/>
        <w:rPr>
          <w:i/>
          <w:sz w:val="22"/>
          <w:szCs w:val="22"/>
        </w:rPr>
      </w:pPr>
      <w:r w:rsidRPr="00F47165">
        <w:rPr>
          <w:b/>
          <w:sz w:val="22"/>
          <w:szCs w:val="22"/>
        </w:rPr>
        <w:t>Ключевые слова:</w:t>
      </w:r>
      <w:r w:rsidRPr="00783851">
        <w:rPr>
          <w:sz w:val="22"/>
          <w:szCs w:val="22"/>
        </w:rPr>
        <w:t xml:space="preserve"> </w:t>
      </w:r>
      <w:r w:rsidRPr="005111F7">
        <w:rPr>
          <w:i/>
          <w:sz w:val="22"/>
          <w:szCs w:val="22"/>
        </w:rPr>
        <w:t>строительство, валовая добавленная стоимость, основные фонды, инвестиции в основной капитал, степень износа, производительность труда.</w:t>
      </w:r>
    </w:p>
    <w:p w:rsidR="00B904B0" w:rsidRPr="00783851" w:rsidRDefault="00B904B0" w:rsidP="00B904B0">
      <w:pPr>
        <w:ind w:firstLine="454"/>
        <w:jc w:val="both"/>
        <w:rPr>
          <w:i/>
          <w:sz w:val="22"/>
          <w:szCs w:val="22"/>
        </w:rPr>
      </w:pPr>
    </w:p>
    <w:p w:rsidR="00B904B0" w:rsidRPr="005111F7" w:rsidRDefault="00B904B0" w:rsidP="005111F7">
      <w:pPr>
        <w:pStyle w:val="10"/>
        <w:ind w:firstLine="709"/>
        <w:rPr>
          <w:rFonts w:ascii="Times New Roman" w:hAnsi="Times New Roman"/>
          <w:color w:val="000000" w:themeColor="text1"/>
          <w:sz w:val="24"/>
          <w:szCs w:val="24"/>
        </w:rPr>
      </w:pPr>
      <w:r w:rsidRPr="005111F7">
        <w:rPr>
          <w:rFonts w:ascii="Times New Roman" w:hAnsi="Times New Roman"/>
          <w:color w:val="000000" w:themeColor="text1"/>
          <w:sz w:val="24"/>
          <w:szCs w:val="24"/>
        </w:rPr>
        <w:t xml:space="preserve">Основой для исчисления отраслевой структуры экономики является валовая добавленная стоимость (ВДС). Данный показатель является ключевым в Системе национальных счетов </w:t>
      </w:r>
      <w:r w:rsidRPr="005111F7">
        <w:rPr>
          <w:rFonts w:ascii="Times New Roman" w:hAnsi="Times New Roman"/>
          <w:sz w:val="24"/>
          <w:szCs w:val="24"/>
        </w:rPr>
        <w:t>[</w:t>
      </w:r>
      <w:r w:rsidR="004604A8">
        <w:rPr>
          <w:rFonts w:ascii="Times New Roman" w:hAnsi="Times New Roman"/>
          <w:sz w:val="24"/>
          <w:szCs w:val="24"/>
        </w:rPr>
        <w:t>1</w:t>
      </w:r>
      <w:r w:rsidRPr="005111F7">
        <w:rPr>
          <w:rFonts w:ascii="Times New Roman" w:hAnsi="Times New Roman"/>
          <w:sz w:val="24"/>
          <w:szCs w:val="24"/>
        </w:rPr>
        <w:t>]</w:t>
      </w:r>
      <w:r w:rsidRPr="005111F7">
        <w:rPr>
          <w:rFonts w:ascii="Times New Roman" w:hAnsi="Times New Roman"/>
          <w:color w:val="000000" w:themeColor="text1"/>
          <w:sz w:val="24"/>
          <w:szCs w:val="24"/>
        </w:rPr>
        <w:t xml:space="preserve"> и рассчитывается как разница между валовым выпуском и промежуточным потреблением </w:t>
      </w:r>
      <w:r w:rsidRPr="005111F7">
        <w:rPr>
          <w:rFonts w:ascii="Times New Roman" w:hAnsi="Times New Roman"/>
          <w:sz w:val="24"/>
          <w:szCs w:val="24"/>
        </w:rPr>
        <w:t>[</w:t>
      </w:r>
      <w:r w:rsidR="004604A8">
        <w:rPr>
          <w:rFonts w:ascii="Times New Roman" w:hAnsi="Times New Roman"/>
          <w:sz w:val="24"/>
          <w:szCs w:val="24"/>
        </w:rPr>
        <w:t>2</w:t>
      </w:r>
      <w:r w:rsidRPr="005111F7">
        <w:rPr>
          <w:rFonts w:ascii="Times New Roman" w:hAnsi="Times New Roman"/>
          <w:sz w:val="24"/>
          <w:szCs w:val="24"/>
        </w:rPr>
        <w:t>, с. 172]</w:t>
      </w:r>
      <w:r w:rsidRPr="005111F7">
        <w:rPr>
          <w:rFonts w:ascii="Times New Roman" w:hAnsi="Times New Roman"/>
          <w:color w:val="000000" w:themeColor="text1"/>
          <w:sz w:val="24"/>
          <w:szCs w:val="24"/>
        </w:rPr>
        <w:t>. Доля строительной отрасли в экономике России в 202</w:t>
      </w:r>
      <w:r w:rsidR="005111F7">
        <w:rPr>
          <w:rFonts w:ascii="Times New Roman" w:hAnsi="Times New Roman"/>
          <w:color w:val="000000" w:themeColor="text1"/>
          <w:sz w:val="24"/>
          <w:szCs w:val="24"/>
        </w:rPr>
        <w:t>2</w:t>
      </w:r>
      <w:r w:rsidRPr="005111F7">
        <w:rPr>
          <w:rFonts w:ascii="Times New Roman" w:hAnsi="Times New Roman"/>
          <w:color w:val="000000" w:themeColor="text1"/>
          <w:sz w:val="24"/>
          <w:szCs w:val="24"/>
        </w:rPr>
        <w:t> г. составила 5,</w:t>
      </w:r>
      <w:r w:rsidR="005111F7">
        <w:rPr>
          <w:rFonts w:ascii="Times New Roman" w:hAnsi="Times New Roman"/>
          <w:color w:val="000000" w:themeColor="text1"/>
          <w:sz w:val="24"/>
          <w:szCs w:val="24"/>
        </w:rPr>
        <w:t>5</w:t>
      </w:r>
      <w:r w:rsidRPr="005111F7">
        <w:rPr>
          <w:rFonts w:ascii="Times New Roman" w:hAnsi="Times New Roman"/>
          <w:color w:val="000000" w:themeColor="text1"/>
          <w:sz w:val="24"/>
          <w:szCs w:val="24"/>
        </w:rPr>
        <w:t>%, снизившись относительно 2017 г. на 0,</w:t>
      </w:r>
      <w:r w:rsidR="005111F7">
        <w:rPr>
          <w:rFonts w:ascii="Times New Roman" w:hAnsi="Times New Roman"/>
          <w:color w:val="000000" w:themeColor="text1"/>
          <w:sz w:val="24"/>
          <w:szCs w:val="24"/>
        </w:rPr>
        <w:t>3</w:t>
      </w:r>
      <w:r w:rsidRPr="005111F7">
        <w:rPr>
          <w:rFonts w:ascii="Times New Roman" w:hAnsi="Times New Roman"/>
          <w:color w:val="000000" w:themeColor="text1"/>
          <w:sz w:val="24"/>
          <w:szCs w:val="24"/>
        </w:rPr>
        <w:t xml:space="preserve"> процентного пункта (п.п.). В целом по Северу вклад строительства в экономику несколько выше, однако, доля снизилась значительней – с 8,5% в 2017 г. до 6,</w:t>
      </w:r>
      <w:r w:rsidR="005111F7">
        <w:rPr>
          <w:rFonts w:ascii="Times New Roman" w:hAnsi="Times New Roman"/>
          <w:color w:val="000000" w:themeColor="text1"/>
          <w:sz w:val="24"/>
          <w:szCs w:val="24"/>
        </w:rPr>
        <w:t>6</w:t>
      </w:r>
      <w:r w:rsidRPr="005111F7">
        <w:rPr>
          <w:rFonts w:ascii="Times New Roman" w:hAnsi="Times New Roman"/>
          <w:color w:val="000000" w:themeColor="text1"/>
          <w:sz w:val="24"/>
          <w:szCs w:val="24"/>
        </w:rPr>
        <w:t>% в 202</w:t>
      </w:r>
      <w:r w:rsidR="005111F7">
        <w:rPr>
          <w:rFonts w:ascii="Times New Roman" w:hAnsi="Times New Roman"/>
          <w:color w:val="000000" w:themeColor="text1"/>
          <w:sz w:val="24"/>
          <w:szCs w:val="24"/>
        </w:rPr>
        <w:t>2</w:t>
      </w:r>
      <w:r w:rsidRPr="005111F7">
        <w:rPr>
          <w:rFonts w:ascii="Times New Roman" w:hAnsi="Times New Roman"/>
          <w:color w:val="000000" w:themeColor="text1"/>
          <w:sz w:val="24"/>
          <w:szCs w:val="24"/>
        </w:rPr>
        <w:t> г. (см. рис. 1).</w:t>
      </w:r>
    </w:p>
    <w:p w:rsidR="00B904B0" w:rsidRPr="000129FB" w:rsidRDefault="00B904B0" w:rsidP="00B904B0">
      <w:pPr>
        <w:autoSpaceDE w:val="0"/>
        <w:autoSpaceDN w:val="0"/>
        <w:adjustRightInd w:val="0"/>
        <w:rPr>
          <w:rFonts w:eastAsiaTheme="minorHAnsi"/>
          <w:lang w:eastAsia="en-US"/>
        </w:rPr>
      </w:pPr>
    </w:p>
    <w:p w:rsidR="00B904B0" w:rsidRDefault="00B904B0" w:rsidP="00B904B0">
      <w:pPr>
        <w:pStyle w:val="10"/>
        <w:spacing w:before="0" w:line="360" w:lineRule="auto"/>
        <w:ind w:firstLine="0"/>
        <w:rPr>
          <w:rFonts w:ascii="Times New Roman" w:hAnsi="Times New Roman"/>
          <w:sz w:val="28"/>
          <w:szCs w:val="28"/>
        </w:rPr>
      </w:pPr>
      <w:r>
        <w:rPr>
          <w:rFonts w:ascii="Times New Roman" w:hAnsi="Times New Roman"/>
          <w:noProof/>
          <w:sz w:val="28"/>
          <w:szCs w:val="28"/>
        </w:rPr>
        <w:lastRenderedPageBreak/>
        <w:drawing>
          <wp:inline distT="0" distB="0" distL="0" distR="0">
            <wp:extent cx="4689428" cy="2845559"/>
            <wp:effectExtent l="19050" t="0" r="15922" b="0"/>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B904B0" w:rsidRPr="00C457A6" w:rsidRDefault="00B904B0" w:rsidP="00B904B0">
      <w:pPr>
        <w:pStyle w:val="10"/>
        <w:spacing w:before="0"/>
        <w:ind w:firstLine="709"/>
        <w:jc w:val="center"/>
        <w:rPr>
          <w:rFonts w:ascii="Times New Roman" w:hAnsi="Times New Roman"/>
          <w:b/>
          <w:sz w:val="22"/>
          <w:szCs w:val="22"/>
        </w:rPr>
      </w:pPr>
      <w:r w:rsidRPr="00C457A6">
        <w:rPr>
          <w:rFonts w:ascii="Times New Roman" w:hAnsi="Times New Roman"/>
          <w:b/>
          <w:sz w:val="22"/>
          <w:szCs w:val="22"/>
        </w:rPr>
        <w:t>Рис. 1. Доля валовой добавленной стоимости</w:t>
      </w:r>
      <w:r w:rsidR="009B51C2">
        <w:rPr>
          <w:rFonts w:ascii="Times New Roman" w:hAnsi="Times New Roman"/>
          <w:b/>
          <w:sz w:val="22"/>
          <w:szCs w:val="22"/>
        </w:rPr>
        <w:t xml:space="preserve"> строительства</w:t>
      </w:r>
      <w:r w:rsidRPr="00C457A6">
        <w:rPr>
          <w:rFonts w:ascii="Times New Roman" w:hAnsi="Times New Roman"/>
          <w:b/>
          <w:sz w:val="22"/>
          <w:szCs w:val="22"/>
        </w:rPr>
        <w:t xml:space="preserve"> в экономике северных регионов, </w:t>
      </w:r>
      <w:r w:rsidRPr="00C457A6">
        <w:rPr>
          <w:rFonts w:ascii="Times New Roman" w:hAnsi="Times New Roman"/>
          <w:sz w:val="22"/>
          <w:szCs w:val="22"/>
        </w:rPr>
        <w:t>%</w:t>
      </w:r>
    </w:p>
    <w:p w:rsidR="00B904B0" w:rsidRPr="003C7088" w:rsidRDefault="00B904B0" w:rsidP="00B904B0">
      <w:pPr>
        <w:pStyle w:val="a8"/>
        <w:tabs>
          <w:tab w:val="left" w:pos="567"/>
          <w:tab w:val="left" w:pos="851"/>
        </w:tabs>
        <w:ind w:left="709"/>
      </w:pPr>
      <w:r>
        <w:t>*</w:t>
      </w:r>
      <w:r w:rsidRPr="003C7088">
        <w:t>Здесь и далее составлено автором по данным ЕМИСС [</w:t>
      </w:r>
      <w:r w:rsidR="004604A8">
        <w:t>3</w:t>
      </w:r>
      <w:r w:rsidRPr="003C7088">
        <w:t>]</w:t>
      </w:r>
      <w:r>
        <w:t>.</w:t>
      </w:r>
    </w:p>
    <w:p w:rsidR="00B904B0" w:rsidRPr="005160FC" w:rsidRDefault="00B904B0" w:rsidP="00B904B0">
      <w:pPr>
        <w:pStyle w:val="Default"/>
        <w:ind w:firstLine="709"/>
        <w:jc w:val="both"/>
        <w:rPr>
          <w:sz w:val="22"/>
          <w:szCs w:val="22"/>
        </w:rPr>
      </w:pPr>
    </w:p>
    <w:p w:rsidR="00B904B0" w:rsidRPr="005111F7" w:rsidRDefault="00B904B0" w:rsidP="005111F7">
      <w:pPr>
        <w:pStyle w:val="Default"/>
        <w:ind w:firstLine="709"/>
        <w:jc w:val="both"/>
        <w:rPr>
          <w:rFonts w:eastAsiaTheme="minorHAnsi"/>
          <w:color w:val="auto"/>
          <w:lang w:eastAsia="en-US"/>
        </w:rPr>
      </w:pPr>
      <w:r w:rsidRPr="005111F7">
        <w:rPr>
          <w:color w:val="auto"/>
        </w:rPr>
        <w:t>За период 2017-202</w:t>
      </w:r>
      <w:r w:rsidR="005111F7">
        <w:rPr>
          <w:color w:val="auto"/>
        </w:rPr>
        <w:t>2</w:t>
      </w:r>
      <w:r w:rsidRPr="005111F7">
        <w:rPr>
          <w:color w:val="auto"/>
        </w:rPr>
        <w:t xml:space="preserve"> гг. самое существенное снижение ВДС строительства наблюдалось в Ямало-Ненецком АО (на </w:t>
      </w:r>
      <w:r w:rsidR="005111F7">
        <w:rPr>
          <w:color w:val="auto"/>
        </w:rPr>
        <w:t>7</w:t>
      </w:r>
      <w:r w:rsidRPr="005111F7">
        <w:rPr>
          <w:color w:val="auto"/>
        </w:rPr>
        <w:t>,</w:t>
      </w:r>
      <w:r w:rsidR="005111F7">
        <w:rPr>
          <w:color w:val="auto"/>
        </w:rPr>
        <w:t>5</w:t>
      </w:r>
      <w:r w:rsidRPr="005111F7">
        <w:rPr>
          <w:color w:val="auto"/>
        </w:rPr>
        <w:t xml:space="preserve"> п.п.) и Республике </w:t>
      </w:r>
      <w:r w:rsidR="005111F7">
        <w:rPr>
          <w:color w:val="auto"/>
        </w:rPr>
        <w:t>Коми</w:t>
      </w:r>
      <w:r w:rsidRPr="005111F7">
        <w:rPr>
          <w:color w:val="auto"/>
        </w:rPr>
        <w:t xml:space="preserve"> (на 3,</w:t>
      </w:r>
      <w:r w:rsidR="005111F7">
        <w:rPr>
          <w:color w:val="auto"/>
        </w:rPr>
        <w:t>1</w:t>
      </w:r>
      <w:r w:rsidRPr="005111F7">
        <w:rPr>
          <w:color w:val="auto"/>
        </w:rPr>
        <w:t xml:space="preserve"> п.п.). Главным фактором, повлиявшим на это усиление доминирования и увеличение в </w:t>
      </w:r>
      <w:r w:rsidRPr="005111F7">
        <w:rPr>
          <w:rFonts w:eastAsiaTheme="minorHAnsi"/>
          <w:color w:val="auto"/>
          <w:lang w:eastAsia="en-US"/>
        </w:rPr>
        <w:t>структуре экономики северных регионов добычи полезных ископаемых.</w:t>
      </w:r>
    </w:p>
    <w:p w:rsidR="00B904B0" w:rsidRPr="005111F7" w:rsidRDefault="00B904B0" w:rsidP="005111F7">
      <w:pPr>
        <w:pStyle w:val="Default"/>
        <w:ind w:firstLine="709"/>
        <w:jc w:val="both"/>
        <w:rPr>
          <w:color w:val="auto"/>
        </w:rPr>
      </w:pPr>
      <w:r w:rsidRPr="005111F7">
        <w:rPr>
          <w:color w:val="auto"/>
        </w:rPr>
        <w:t>В 202</w:t>
      </w:r>
      <w:r w:rsidR="005111F7">
        <w:rPr>
          <w:color w:val="auto"/>
        </w:rPr>
        <w:t>2</w:t>
      </w:r>
      <w:r w:rsidRPr="005111F7">
        <w:rPr>
          <w:color w:val="auto"/>
        </w:rPr>
        <w:t xml:space="preserve"> г. в отраслевой структуре экономики наибольший удельный вес строительства приходился в Чукотском АО (1</w:t>
      </w:r>
      <w:r w:rsidR="00914248">
        <w:rPr>
          <w:color w:val="auto"/>
        </w:rPr>
        <w:t>8</w:t>
      </w:r>
      <w:r w:rsidRPr="005111F7">
        <w:rPr>
          <w:color w:val="auto"/>
        </w:rPr>
        <w:t>,</w:t>
      </w:r>
      <w:r w:rsidR="00914248">
        <w:rPr>
          <w:color w:val="auto"/>
        </w:rPr>
        <w:t>9</w:t>
      </w:r>
      <w:r w:rsidRPr="005111F7">
        <w:rPr>
          <w:color w:val="auto"/>
        </w:rPr>
        <w:t xml:space="preserve">%), </w:t>
      </w:r>
      <w:r w:rsidR="00914248">
        <w:rPr>
          <w:color w:val="auto"/>
        </w:rPr>
        <w:t xml:space="preserve">Республике Саха (Якутия) (8,9%), </w:t>
      </w:r>
      <w:r w:rsidRPr="005111F7">
        <w:rPr>
          <w:color w:val="auto"/>
        </w:rPr>
        <w:t xml:space="preserve">Ямало-Ненецком АО (8%), </w:t>
      </w:r>
      <w:r w:rsidR="00914248" w:rsidRPr="005111F7">
        <w:rPr>
          <w:color w:val="auto"/>
        </w:rPr>
        <w:t>Мурманской области (6,</w:t>
      </w:r>
      <w:r w:rsidR="00914248">
        <w:rPr>
          <w:color w:val="auto"/>
        </w:rPr>
        <w:t>9</w:t>
      </w:r>
      <w:r w:rsidR="00914248" w:rsidRPr="005111F7">
        <w:rPr>
          <w:color w:val="auto"/>
        </w:rPr>
        <w:t>%)</w:t>
      </w:r>
      <w:r w:rsidR="00914248">
        <w:rPr>
          <w:color w:val="auto"/>
        </w:rPr>
        <w:t xml:space="preserve">, </w:t>
      </w:r>
      <w:r w:rsidRPr="005111F7">
        <w:rPr>
          <w:color w:val="auto"/>
        </w:rPr>
        <w:t>Сахалинской области (</w:t>
      </w:r>
      <w:r w:rsidR="00914248">
        <w:rPr>
          <w:color w:val="auto"/>
        </w:rPr>
        <w:t>6</w:t>
      </w:r>
      <w:r w:rsidRPr="005111F7">
        <w:rPr>
          <w:color w:val="auto"/>
        </w:rPr>
        <w:t>,</w:t>
      </w:r>
      <w:r w:rsidR="00914248">
        <w:rPr>
          <w:color w:val="auto"/>
        </w:rPr>
        <w:t>3</w:t>
      </w:r>
      <w:r w:rsidRPr="005111F7">
        <w:rPr>
          <w:color w:val="auto"/>
        </w:rPr>
        <w:t xml:space="preserve">%), наименьший – в </w:t>
      </w:r>
      <w:r w:rsidR="00914248" w:rsidRPr="005111F7">
        <w:rPr>
          <w:color w:val="auto"/>
        </w:rPr>
        <w:t>Архангельской области (3,</w:t>
      </w:r>
      <w:r w:rsidR="00914248">
        <w:rPr>
          <w:color w:val="auto"/>
        </w:rPr>
        <w:t>4</w:t>
      </w:r>
      <w:r w:rsidR="00914248" w:rsidRPr="005111F7">
        <w:rPr>
          <w:color w:val="auto"/>
        </w:rPr>
        <w:t>%)</w:t>
      </w:r>
      <w:r w:rsidR="00914248">
        <w:rPr>
          <w:color w:val="auto"/>
        </w:rPr>
        <w:t>,</w:t>
      </w:r>
      <w:r w:rsidR="00914248" w:rsidRPr="005111F7">
        <w:rPr>
          <w:color w:val="auto"/>
        </w:rPr>
        <w:t xml:space="preserve"> </w:t>
      </w:r>
      <w:r w:rsidRPr="005111F7">
        <w:rPr>
          <w:color w:val="auto"/>
        </w:rPr>
        <w:t>Магаданской области (</w:t>
      </w:r>
      <w:r w:rsidR="00914248">
        <w:rPr>
          <w:color w:val="auto"/>
        </w:rPr>
        <w:t>3</w:t>
      </w:r>
      <w:r w:rsidRPr="005111F7">
        <w:rPr>
          <w:color w:val="auto"/>
        </w:rPr>
        <w:t>,</w:t>
      </w:r>
      <w:r w:rsidR="00914248">
        <w:rPr>
          <w:color w:val="auto"/>
        </w:rPr>
        <w:t>5</w:t>
      </w:r>
      <w:r w:rsidRPr="005111F7">
        <w:rPr>
          <w:color w:val="auto"/>
        </w:rPr>
        <w:t>%),</w:t>
      </w:r>
      <w:r w:rsidR="00914248">
        <w:rPr>
          <w:color w:val="auto"/>
        </w:rPr>
        <w:t xml:space="preserve"> Республике Коми (3,7%)</w:t>
      </w:r>
      <w:r w:rsidRPr="005111F7">
        <w:rPr>
          <w:color w:val="auto"/>
        </w:rPr>
        <w:t xml:space="preserve"> и Ненецком АО (3,</w:t>
      </w:r>
      <w:r w:rsidR="00914248">
        <w:rPr>
          <w:color w:val="auto"/>
        </w:rPr>
        <w:t>8</w:t>
      </w:r>
      <w:r w:rsidRPr="005111F7">
        <w:rPr>
          <w:color w:val="auto"/>
        </w:rPr>
        <w:t>%).</w:t>
      </w:r>
    </w:p>
    <w:p w:rsidR="00B904B0" w:rsidRPr="005111F7" w:rsidRDefault="00B904B0" w:rsidP="005111F7">
      <w:pPr>
        <w:pStyle w:val="Default"/>
        <w:ind w:firstLine="709"/>
        <w:jc w:val="both"/>
        <w:rPr>
          <w:color w:val="auto"/>
        </w:rPr>
      </w:pPr>
      <w:r w:rsidRPr="005111F7">
        <w:rPr>
          <w:color w:val="auto"/>
        </w:rPr>
        <w:t xml:space="preserve">За исследуемый период значительно увеличился удельный вес валовой добавленной стоимости строительства в экономике Чукотского АО (на </w:t>
      </w:r>
      <w:r w:rsidR="00914248">
        <w:rPr>
          <w:color w:val="auto"/>
        </w:rPr>
        <w:t>13,9</w:t>
      </w:r>
      <w:r w:rsidRPr="005111F7">
        <w:rPr>
          <w:color w:val="auto"/>
        </w:rPr>
        <w:t xml:space="preserve"> п.п.).</w:t>
      </w:r>
    </w:p>
    <w:p w:rsidR="00B904B0" w:rsidRPr="005111F7" w:rsidRDefault="00B904B0" w:rsidP="005111F7">
      <w:pPr>
        <w:pStyle w:val="Default"/>
        <w:ind w:firstLine="709"/>
        <w:jc w:val="both"/>
        <w:rPr>
          <w:rFonts w:eastAsiaTheme="minorHAnsi"/>
          <w:lang w:eastAsia="en-US"/>
        </w:rPr>
      </w:pPr>
      <w:r w:rsidRPr="005111F7">
        <w:rPr>
          <w:rFonts w:eastAsiaTheme="minorHAnsi"/>
          <w:lang w:eastAsia="en-US"/>
        </w:rPr>
        <w:t xml:space="preserve">Успешное развитие </w:t>
      </w:r>
      <w:proofErr w:type="spellStart"/>
      <w:r w:rsidRPr="005111F7">
        <w:rPr>
          <w:rFonts w:eastAsiaTheme="minorHAnsi"/>
          <w:lang w:eastAsia="en-US"/>
        </w:rPr>
        <w:t>инвестиционно-строительного</w:t>
      </w:r>
      <w:proofErr w:type="spellEnd"/>
      <w:r w:rsidRPr="005111F7">
        <w:rPr>
          <w:rFonts w:eastAsiaTheme="minorHAnsi"/>
          <w:lang w:eastAsia="en-US"/>
        </w:rPr>
        <w:t xml:space="preserve"> сектора оказывает существенную роль на уровень и темпы роста всех отраслей материального производства и социальной сферы. Наличие и состояние техники и технологий, наряду с действиями органов исполнительной власти, наличием кадрового резерва, инвестиционной привлекательностью создают надежный базис для успешного функционирования всего строительного комплекса, а, следовательно, и экономики в целом. </w:t>
      </w:r>
    </w:p>
    <w:p w:rsidR="00B904B0" w:rsidRPr="005111F7" w:rsidRDefault="00B904B0" w:rsidP="00914248">
      <w:pPr>
        <w:pStyle w:val="Default"/>
        <w:ind w:firstLine="709"/>
        <w:jc w:val="both"/>
        <w:rPr>
          <w:rFonts w:eastAsiaTheme="minorHAnsi"/>
          <w:lang w:eastAsia="en-US"/>
        </w:rPr>
      </w:pPr>
      <w:r w:rsidRPr="005111F7">
        <w:rPr>
          <w:rFonts w:eastAsiaTheme="minorHAnsi"/>
          <w:color w:val="auto"/>
          <w:lang w:eastAsia="en-US"/>
        </w:rPr>
        <w:lastRenderedPageBreak/>
        <w:t xml:space="preserve">Основные фонды – часть </w:t>
      </w:r>
      <w:proofErr w:type="gramStart"/>
      <w:r w:rsidRPr="005111F7">
        <w:rPr>
          <w:rFonts w:eastAsiaTheme="minorHAnsi"/>
          <w:color w:val="auto"/>
          <w:lang w:eastAsia="en-US"/>
        </w:rPr>
        <w:t>капитала</w:t>
      </w:r>
      <w:proofErr w:type="gramEnd"/>
      <w:r w:rsidRPr="005111F7">
        <w:rPr>
          <w:rFonts w:eastAsiaTheme="minorHAnsi"/>
          <w:color w:val="auto"/>
          <w:lang w:eastAsia="en-US"/>
        </w:rPr>
        <w:t xml:space="preserve"> трансформированная в здания, сооружения и другие средства производства, участвуют в производственном процессе, перенося свою стоимость на создаваемую продукцию долями [</w:t>
      </w:r>
      <w:r w:rsidR="004604A8">
        <w:rPr>
          <w:rFonts w:eastAsiaTheme="minorHAnsi"/>
          <w:color w:val="auto"/>
          <w:lang w:eastAsia="en-US"/>
        </w:rPr>
        <w:t>4</w:t>
      </w:r>
      <w:r w:rsidRPr="005111F7">
        <w:rPr>
          <w:rFonts w:eastAsiaTheme="minorHAnsi"/>
          <w:color w:val="auto"/>
          <w:lang w:eastAsia="en-US"/>
        </w:rPr>
        <w:t>].</w:t>
      </w:r>
      <w:r w:rsidRPr="005111F7">
        <w:rPr>
          <w:rFonts w:eastAsiaTheme="minorHAnsi"/>
          <w:lang w:eastAsia="en-US"/>
        </w:rPr>
        <w:t xml:space="preserve"> Производственные мощности и  основные фонды отраслей экономики создает отрасль «Строительство». Реализация инвестиционных проектов невозможна при недостаточности основного капитала в сфере </w:t>
      </w:r>
      <w:proofErr w:type="spellStart"/>
      <w:r w:rsidRPr="005111F7">
        <w:rPr>
          <w:rFonts w:eastAsiaTheme="minorHAnsi"/>
          <w:lang w:eastAsia="en-US"/>
        </w:rPr>
        <w:t>инвестиционно-строительной</w:t>
      </w:r>
      <w:proofErr w:type="spellEnd"/>
      <w:r w:rsidRPr="005111F7">
        <w:rPr>
          <w:rFonts w:eastAsiaTheme="minorHAnsi"/>
          <w:lang w:eastAsia="en-US"/>
        </w:rPr>
        <w:t xml:space="preserve"> деятельности. </w:t>
      </w:r>
    </w:p>
    <w:p w:rsidR="00B904B0" w:rsidRPr="005111F7" w:rsidRDefault="00B904B0" w:rsidP="00914248">
      <w:pPr>
        <w:pStyle w:val="Default"/>
        <w:ind w:firstLine="709"/>
        <w:jc w:val="both"/>
        <w:rPr>
          <w:rFonts w:eastAsiaTheme="minorHAnsi"/>
          <w:color w:val="auto"/>
          <w:lang w:eastAsia="en-US"/>
        </w:rPr>
      </w:pPr>
      <w:r w:rsidRPr="005111F7">
        <w:rPr>
          <w:rFonts w:eastAsiaTheme="minorHAnsi"/>
          <w:color w:val="auto"/>
          <w:lang w:eastAsia="en-US"/>
        </w:rPr>
        <w:t xml:space="preserve">В территориальной структуре основных фондов в целом по экономике доля Севера в 2022 г. составила 14,6%, снизившись относительно 2017 г. на 2,6 п.п. </w:t>
      </w:r>
      <w:proofErr w:type="gramStart"/>
      <w:r w:rsidRPr="005111F7">
        <w:rPr>
          <w:rFonts w:eastAsiaTheme="minorHAnsi"/>
          <w:color w:val="auto"/>
          <w:lang w:eastAsia="en-US"/>
        </w:rPr>
        <w:t xml:space="preserve">Чуть менее половины основных фондов строительной отрасли северных регионов в 2022 г. принадлежало Ханты-Мансийскому АО </w:t>
      </w:r>
      <w:r w:rsidRPr="005111F7">
        <w:rPr>
          <w:rFonts w:eastAsiaTheme="minorHAnsi"/>
          <w:color w:val="auto"/>
          <w:lang w:eastAsia="en-US"/>
        </w:rPr>
        <w:softHyphen/>
        <w:t>– 44,9%, что на 2,5 п.п. больше 2017 г.  Весомая часть фондов в 2022 г. приходилась на Республику Саха (Якутия) (13,1%), Ямало-Ненецкий АО (10,4%), Сахалинскую (8%) и Чукотский АО (6,3%) области.</w:t>
      </w:r>
      <w:proofErr w:type="gramEnd"/>
      <w:r w:rsidRPr="005111F7">
        <w:rPr>
          <w:rFonts w:eastAsiaTheme="minorHAnsi"/>
          <w:color w:val="auto"/>
          <w:lang w:eastAsia="en-US"/>
        </w:rPr>
        <w:t xml:space="preserve"> По сравнению с 2017 г. наибольший прирост доли основных фондов строительной отрасли в территориальной структуре Севера произошёл в Чукотском АО (на 4,4 п.п.) и Ханты-Мансийском АО (на 2,5 п.п.). Значительное снижение зафиксировано в Республике Саха (Якутия) (на 3,6 п.п.) и Камчатском крае (на 2,2 п.п.).</w:t>
      </w:r>
    </w:p>
    <w:p w:rsidR="00B904B0" w:rsidRPr="005111F7" w:rsidRDefault="00B904B0" w:rsidP="005111F7">
      <w:pPr>
        <w:pStyle w:val="10"/>
        <w:spacing w:before="0"/>
        <w:ind w:firstLine="709"/>
        <w:rPr>
          <w:rFonts w:ascii="Times New Roman" w:hAnsi="Times New Roman"/>
          <w:sz w:val="24"/>
          <w:szCs w:val="24"/>
        </w:rPr>
      </w:pPr>
      <w:r w:rsidRPr="005111F7">
        <w:rPr>
          <w:rFonts w:ascii="Times New Roman" w:hAnsi="Times New Roman"/>
          <w:sz w:val="24"/>
          <w:szCs w:val="24"/>
        </w:rPr>
        <w:t>Одним из значительных препятствий для социально-экономического развития северных регионов является высокий уровень изношенности основных фондов в строительстве (табл. 2).</w:t>
      </w:r>
    </w:p>
    <w:p w:rsidR="00B904B0" w:rsidRPr="005160FC" w:rsidRDefault="00B904B0" w:rsidP="00B904B0">
      <w:pPr>
        <w:pStyle w:val="10"/>
        <w:spacing w:before="0"/>
        <w:ind w:firstLine="709"/>
        <w:jc w:val="right"/>
        <w:rPr>
          <w:rFonts w:ascii="Times New Roman" w:hAnsi="Times New Roman"/>
          <w:sz w:val="22"/>
          <w:szCs w:val="22"/>
        </w:rPr>
      </w:pPr>
      <w:r w:rsidRPr="005160FC">
        <w:rPr>
          <w:rFonts w:ascii="Times New Roman" w:hAnsi="Times New Roman"/>
          <w:sz w:val="22"/>
          <w:szCs w:val="22"/>
        </w:rPr>
        <w:t xml:space="preserve">Таблица 2. </w:t>
      </w:r>
    </w:p>
    <w:p w:rsidR="00B904B0" w:rsidRPr="005160FC" w:rsidRDefault="00B904B0" w:rsidP="00B904B0">
      <w:pPr>
        <w:pStyle w:val="10"/>
        <w:spacing w:before="0"/>
        <w:ind w:firstLine="0"/>
        <w:jc w:val="center"/>
        <w:rPr>
          <w:rFonts w:ascii="Times New Roman" w:hAnsi="Times New Roman"/>
          <w:b/>
          <w:sz w:val="22"/>
          <w:szCs w:val="22"/>
        </w:rPr>
      </w:pPr>
      <w:r w:rsidRPr="005160FC">
        <w:rPr>
          <w:rFonts w:ascii="Times New Roman" w:hAnsi="Times New Roman"/>
          <w:b/>
          <w:sz w:val="22"/>
          <w:szCs w:val="22"/>
        </w:rPr>
        <w:t xml:space="preserve">Степень износа основных фондов в строительстве, </w:t>
      </w:r>
      <w:proofErr w:type="gramStart"/>
      <w:r w:rsidRPr="005160FC">
        <w:rPr>
          <w:rFonts w:ascii="Times New Roman" w:hAnsi="Times New Roman"/>
          <w:sz w:val="22"/>
          <w:szCs w:val="22"/>
        </w:rPr>
        <w:t>в</w:t>
      </w:r>
      <w:proofErr w:type="gramEnd"/>
      <w:r w:rsidRPr="005160FC">
        <w:rPr>
          <w:rFonts w:ascii="Times New Roman" w:hAnsi="Times New Roman"/>
          <w:sz w:val="22"/>
          <w:szCs w:val="22"/>
        </w:rPr>
        <w:t xml:space="preserve"> %</w:t>
      </w:r>
    </w:p>
    <w:tbl>
      <w:tblPr>
        <w:tblW w:w="7498" w:type="dxa"/>
        <w:tblInd w:w="96" w:type="dxa"/>
        <w:tblLayout w:type="fixed"/>
        <w:tblLook w:val="04A0"/>
      </w:tblPr>
      <w:tblGrid>
        <w:gridCol w:w="3273"/>
        <w:gridCol w:w="704"/>
        <w:gridCol w:w="704"/>
        <w:gridCol w:w="704"/>
        <w:gridCol w:w="704"/>
        <w:gridCol w:w="704"/>
        <w:gridCol w:w="705"/>
      </w:tblGrid>
      <w:tr w:rsidR="00B904B0" w:rsidRPr="005160FC" w:rsidTr="009B51C2">
        <w:trPr>
          <w:trHeight w:val="170"/>
        </w:trPr>
        <w:tc>
          <w:tcPr>
            <w:tcW w:w="3273"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rPr>
                <w:color w:val="000000"/>
                <w:sz w:val="20"/>
                <w:szCs w:val="20"/>
              </w:rPr>
            </w:pPr>
            <w:r w:rsidRPr="00DA554A">
              <w:rPr>
                <w:color w:val="000000"/>
                <w:sz w:val="20"/>
                <w:szCs w:val="20"/>
              </w:rPr>
              <w:t> </w:t>
            </w:r>
          </w:p>
        </w:tc>
        <w:tc>
          <w:tcPr>
            <w:tcW w:w="704" w:type="dxa"/>
            <w:tcBorders>
              <w:top w:val="single" w:sz="4" w:space="0" w:color="auto"/>
              <w:left w:val="nil"/>
              <w:bottom w:val="single" w:sz="4" w:space="0" w:color="auto"/>
              <w:right w:val="single" w:sz="4" w:space="0" w:color="auto"/>
            </w:tcBorders>
          </w:tcPr>
          <w:p w:rsidR="00B904B0" w:rsidRPr="00DA554A" w:rsidRDefault="00B904B0" w:rsidP="009B51C2">
            <w:pPr>
              <w:rPr>
                <w:sz w:val="20"/>
                <w:szCs w:val="20"/>
              </w:rPr>
            </w:pPr>
            <w:r w:rsidRPr="00DA554A">
              <w:rPr>
                <w:sz w:val="20"/>
                <w:szCs w:val="20"/>
              </w:rPr>
              <w:t>2017</w:t>
            </w:r>
          </w:p>
        </w:tc>
        <w:tc>
          <w:tcPr>
            <w:tcW w:w="704" w:type="dxa"/>
            <w:tcBorders>
              <w:top w:val="single" w:sz="4" w:space="0" w:color="auto"/>
              <w:left w:val="single" w:sz="4" w:space="0" w:color="auto"/>
              <w:bottom w:val="single" w:sz="4" w:space="0" w:color="auto"/>
              <w:right w:val="single" w:sz="4" w:space="0" w:color="auto"/>
            </w:tcBorders>
          </w:tcPr>
          <w:p w:rsidR="00B904B0" w:rsidRPr="00DA554A" w:rsidRDefault="00B904B0" w:rsidP="009B51C2">
            <w:pPr>
              <w:rPr>
                <w:sz w:val="20"/>
                <w:szCs w:val="20"/>
              </w:rPr>
            </w:pPr>
            <w:r w:rsidRPr="00DA554A">
              <w:rPr>
                <w:sz w:val="20"/>
                <w:szCs w:val="20"/>
              </w:rPr>
              <w:t>2018</w:t>
            </w:r>
          </w:p>
        </w:tc>
        <w:tc>
          <w:tcPr>
            <w:tcW w:w="704" w:type="dxa"/>
            <w:tcBorders>
              <w:top w:val="single" w:sz="4" w:space="0" w:color="auto"/>
              <w:left w:val="nil"/>
              <w:bottom w:val="single" w:sz="4" w:space="0" w:color="auto"/>
              <w:right w:val="single" w:sz="4" w:space="0" w:color="auto"/>
            </w:tcBorders>
          </w:tcPr>
          <w:p w:rsidR="00B904B0" w:rsidRPr="00DA554A" w:rsidRDefault="00B904B0" w:rsidP="009B51C2">
            <w:pPr>
              <w:rPr>
                <w:sz w:val="20"/>
                <w:szCs w:val="20"/>
              </w:rPr>
            </w:pPr>
            <w:r w:rsidRPr="00DA554A">
              <w:rPr>
                <w:sz w:val="20"/>
                <w:szCs w:val="20"/>
              </w:rPr>
              <w:t>2019</w:t>
            </w:r>
          </w:p>
        </w:tc>
        <w:tc>
          <w:tcPr>
            <w:tcW w:w="704" w:type="dxa"/>
            <w:tcBorders>
              <w:top w:val="single" w:sz="4" w:space="0" w:color="auto"/>
              <w:left w:val="nil"/>
              <w:bottom w:val="single" w:sz="4" w:space="0" w:color="auto"/>
              <w:right w:val="single" w:sz="4" w:space="0" w:color="auto"/>
            </w:tcBorders>
          </w:tcPr>
          <w:p w:rsidR="00B904B0" w:rsidRPr="00DA554A" w:rsidRDefault="00B904B0" w:rsidP="009B51C2">
            <w:pPr>
              <w:rPr>
                <w:sz w:val="20"/>
                <w:szCs w:val="20"/>
              </w:rPr>
            </w:pPr>
            <w:r w:rsidRPr="00DA554A">
              <w:rPr>
                <w:sz w:val="20"/>
                <w:szCs w:val="20"/>
              </w:rPr>
              <w:t>2020</w:t>
            </w:r>
          </w:p>
        </w:tc>
        <w:tc>
          <w:tcPr>
            <w:tcW w:w="704" w:type="dxa"/>
            <w:tcBorders>
              <w:top w:val="single" w:sz="4" w:space="0" w:color="auto"/>
              <w:left w:val="nil"/>
              <w:bottom w:val="single" w:sz="4" w:space="0" w:color="auto"/>
              <w:right w:val="single" w:sz="4" w:space="0" w:color="auto"/>
            </w:tcBorders>
          </w:tcPr>
          <w:p w:rsidR="00B904B0" w:rsidRPr="00DA554A" w:rsidRDefault="00B904B0" w:rsidP="009B51C2">
            <w:pPr>
              <w:rPr>
                <w:sz w:val="20"/>
                <w:szCs w:val="20"/>
              </w:rPr>
            </w:pPr>
            <w:r w:rsidRPr="00DA554A">
              <w:rPr>
                <w:sz w:val="20"/>
                <w:szCs w:val="20"/>
              </w:rPr>
              <w:t>2021</w:t>
            </w:r>
          </w:p>
        </w:tc>
        <w:tc>
          <w:tcPr>
            <w:tcW w:w="705" w:type="dxa"/>
            <w:tcBorders>
              <w:top w:val="single" w:sz="4" w:space="0" w:color="auto"/>
              <w:left w:val="nil"/>
              <w:bottom w:val="single" w:sz="4" w:space="0" w:color="auto"/>
              <w:right w:val="single" w:sz="4" w:space="0" w:color="auto"/>
            </w:tcBorders>
            <w:shd w:val="clear" w:color="auto" w:fill="auto"/>
            <w:hideMark/>
          </w:tcPr>
          <w:p w:rsidR="00B904B0" w:rsidRPr="00DA554A" w:rsidRDefault="00B904B0" w:rsidP="009B51C2">
            <w:pPr>
              <w:jc w:val="center"/>
              <w:rPr>
                <w:sz w:val="20"/>
                <w:szCs w:val="20"/>
              </w:rPr>
            </w:pPr>
            <w:r w:rsidRPr="00DA554A">
              <w:rPr>
                <w:sz w:val="20"/>
                <w:szCs w:val="20"/>
              </w:rPr>
              <w:t>2022</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rPr>
                <w:color w:val="000000"/>
                <w:sz w:val="20"/>
                <w:szCs w:val="20"/>
              </w:rPr>
            </w:pPr>
            <w:r w:rsidRPr="00DA554A">
              <w:rPr>
                <w:color w:val="000000"/>
                <w:sz w:val="20"/>
                <w:szCs w:val="20"/>
              </w:rPr>
              <w:t>Российская Федерация</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48,4</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46,1</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48,2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51,6</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50,5</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52,2</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rPr>
                <w:sz w:val="20"/>
                <w:szCs w:val="20"/>
              </w:rPr>
            </w:pPr>
            <w:r w:rsidRPr="00DA554A">
              <w:rPr>
                <w:sz w:val="20"/>
                <w:szCs w:val="20"/>
              </w:rPr>
              <w:t>СЕВЕР</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55,7</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55,4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56,7</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61,5</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58,6</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color w:val="05386B"/>
                <w:sz w:val="20"/>
                <w:szCs w:val="20"/>
              </w:rPr>
            </w:pPr>
            <w:r w:rsidRPr="00DA554A">
              <w:rPr>
                <w:color w:val="05386B"/>
                <w:sz w:val="20"/>
                <w:szCs w:val="20"/>
              </w:rPr>
              <w:t>56,8</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Республика Карелия</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53,0</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52,9</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52,9</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51,8</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53,1</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51,3</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Республика Коми</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64,4</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66,1</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66,4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57,0</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69,4</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75,7</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Архангельская область</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58,7</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54,6</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57,6</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59,0</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49,6</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55,5</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proofErr w:type="gramStart"/>
            <w:r w:rsidRPr="00DA554A">
              <w:rPr>
                <w:color w:val="000000"/>
                <w:sz w:val="20"/>
                <w:szCs w:val="20"/>
              </w:rPr>
              <w:t>Ненецкий</w:t>
            </w:r>
            <w:proofErr w:type="gramEnd"/>
            <w:r w:rsidRPr="00DA554A">
              <w:rPr>
                <w:color w:val="000000"/>
                <w:sz w:val="20"/>
                <w:szCs w:val="20"/>
              </w:rPr>
              <w:t xml:space="preserve"> АО</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62,6</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64,4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64,8</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68,0</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70,5</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Мурманская область</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53,6</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46,4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44,3</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56,5</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53,9</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53,8</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 xml:space="preserve">Ханты-Мансийский АО - </w:t>
            </w:r>
            <w:proofErr w:type="spellStart"/>
            <w:r w:rsidRPr="00DA554A">
              <w:rPr>
                <w:color w:val="000000"/>
                <w:sz w:val="20"/>
                <w:szCs w:val="20"/>
              </w:rPr>
              <w:t>Югра</w:t>
            </w:r>
            <w:proofErr w:type="spellEnd"/>
            <w:r w:rsidRPr="00DA554A">
              <w:rPr>
                <w:color w:val="000000"/>
                <w:sz w:val="20"/>
                <w:szCs w:val="20"/>
              </w:rPr>
              <w:t xml:space="preserve"> </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49,4</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57,8</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63,2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63,3</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64,9</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62,3</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proofErr w:type="gramStart"/>
            <w:r w:rsidRPr="00DA554A">
              <w:rPr>
                <w:color w:val="000000"/>
                <w:sz w:val="20"/>
                <w:szCs w:val="20"/>
              </w:rPr>
              <w:t>Ямало-Ненецкий</w:t>
            </w:r>
            <w:proofErr w:type="gramEnd"/>
            <w:r w:rsidRPr="00DA554A">
              <w:rPr>
                <w:color w:val="000000"/>
                <w:sz w:val="20"/>
                <w:szCs w:val="20"/>
              </w:rPr>
              <w:t xml:space="preserve"> АО</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51,7</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51,2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62,3</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69,4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66,0</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64,5</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Республика Саха (Якутия)</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60,1</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37,7</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51,6</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55,7</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60,8</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60,7</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Камчатский край</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39,1</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37,8</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43,7</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67,2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38,6</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46,2</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Магаданская область</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60,4</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66,2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75,2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75,5</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63,9</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55,6</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r w:rsidRPr="00DA554A">
              <w:rPr>
                <w:color w:val="000000"/>
                <w:sz w:val="20"/>
                <w:szCs w:val="20"/>
              </w:rPr>
              <w:t>Сахалинская область</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54,8</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70,1</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31,4</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53,2</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54,8</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57,3</w:t>
            </w:r>
          </w:p>
        </w:tc>
      </w:tr>
      <w:tr w:rsidR="00B904B0" w:rsidRPr="005160FC" w:rsidTr="009B51C2">
        <w:trPr>
          <w:trHeight w:val="170"/>
        </w:trPr>
        <w:tc>
          <w:tcPr>
            <w:tcW w:w="3273" w:type="dxa"/>
            <w:tcBorders>
              <w:top w:val="nil"/>
              <w:left w:val="single" w:sz="4" w:space="0" w:color="auto"/>
              <w:bottom w:val="single" w:sz="4" w:space="0" w:color="auto"/>
              <w:right w:val="single" w:sz="4" w:space="0" w:color="auto"/>
            </w:tcBorders>
            <w:shd w:val="clear" w:color="auto" w:fill="auto"/>
            <w:noWrap/>
            <w:vAlign w:val="bottom"/>
            <w:hideMark/>
          </w:tcPr>
          <w:p w:rsidR="00B904B0" w:rsidRPr="00DA554A" w:rsidRDefault="00B904B0" w:rsidP="009B51C2">
            <w:pPr>
              <w:ind w:left="188"/>
              <w:rPr>
                <w:color w:val="000000"/>
                <w:sz w:val="20"/>
                <w:szCs w:val="20"/>
              </w:rPr>
            </w:pPr>
            <w:proofErr w:type="gramStart"/>
            <w:r w:rsidRPr="00DA554A">
              <w:rPr>
                <w:color w:val="000000"/>
                <w:sz w:val="20"/>
                <w:szCs w:val="20"/>
              </w:rPr>
              <w:t>Чукотский</w:t>
            </w:r>
            <w:proofErr w:type="gramEnd"/>
            <w:r w:rsidRPr="00DA554A">
              <w:rPr>
                <w:color w:val="000000"/>
                <w:sz w:val="20"/>
                <w:szCs w:val="20"/>
              </w:rPr>
              <w:t xml:space="preserve"> АО</w:t>
            </w:r>
          </w:p>
        </w:tc>
        <w:tc>
          <w:tcPr>
            <w:tcW w:w="704" w:type="dxa"/>
            <w:tcBorders>
              <w:top w:val="single" w:sz="4" w:space="0" w:color="auto"/>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60,5</w:t>
            </w:r>
          </w:p>
        </w:tc>
        <w:tc>
          <w:tcPr>
            <w:tcW w:w="704" w:type="dxa"/>
            <w:tcBorders>
              <w:top w:val="single" w:sz="4" w:space="0" w:color="auto"/>
              <w:left w:val="single" w:sz="4" w:space="0" w:color="auto"/>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63,6</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67,3</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64,1</w:t>
            </w:r>
          </w:p>
        </w:tc>
        <w:tc>
          <w:tcPr>
            <w:tcW w:w="704" w:type="dxa"/>
            <w:tcBorders>
              <w:top w:val="nil"/>
              <w:left w:val="nil"/>
              <w:bottom w:val="single" w:sz="4" w:space="0" w:color="auto"/>
              <w:right w:val="single" w:sz="4" w:space="0" w:color="auto"/>
            </w:tcBorders>
            <w:vAlign w:val="bottom"/>
          </w:tcPr>
          <w:p w:rsidR="00B904B0" w:rsidRPr="00DA554A" w:rsidRDefault="00B904B0" w:rsidP="009B51C2">
            <w:pPr>
              <w:jc w:val="right"/>
              <w:rPr>
                <w:sz w:val="20"/>
                <w:szCs w:val="20"/>
              </w:rPr>
            </w:pPr>
            <w:r w:rsidRPr="00DA554A">
              <w:rPr>
                <w:sz w:val="20"/>
                <w:szCs w:val="20"/>
              </w:rPr>
              <w:t>60,5</w:t>
            </w:r>
          </w:p>
        </w:tc>
        <w:tc>
          <w:tcPr>
            <w:tcW w:w="705" w:type="dxa"/>
            <w:tcBorders>
              <w:top w:val="nil"/>
              <w:left w:val="nil"/>
              <w:bottom w:val="single" w:sz="4" w:space="0" w:color="auto"/>
              <w:right w:val="single" w:sz="4" w:space="0" w:color="auto"/>
            </w:tcBorders>
            <w:shd w:val="clear" w:color="auto" w:fill="auto"/>
            <w:noWrap/>
            <w:vAlign w:val="bottom"/>
            <w:hideMark/>
          </w:tcPr>
          <w:p w:rsidR="00B904B0" w:rsidRPr="00DA554A" w:rsidRDefault="00B904B0" w:rsidP="009B51C2">
            <w:pPr>
              <w:jc w:val="right"/>
              <w:rPr>
                <w:sz w:val="20"/>
                <w:szCs w:val="20"/>
              </w:rPr>
            </w:pPr>
            <w:r w:rsidRPr="00DA554A">
              <w:rPr>
                <w:sz w:val="20"/>
                <w:szCs w:val="20"/>
              </w:rPr>
              <w:t>28,7</w:t>
            </w:r>
          </w:p>
        </w:tc>
      </w:tr>
    </w:tbl>
    <w:p w:rsidR="00B904B0" w:rsidRPr="005160FC" w:rsidRDefault="00B904B0" w:rsidP="00B904B0">
      <w:pPr>
        <w:pStyle w:val="Default"/>
        <w:ind w:firstLine="709"/>
        <w:jc w:val="both"/>
        <w:rPr>
          <w:color w:val="auto"/>
          <w:sz w:val="22"/>
          <w:szCs w:val="22"/>
        </w:rPr>
      </w:pPr>
    </w:p>
    <w:p w:rsidR="00B904B0" w:rsidRPr="005111F7" w:rsidRDefault="00B904B0" w:rsidP="005111F7">
      <w:pPr>
        <w:pStyle w:val="Default"/>
        <w:ind w:firstLine="709"/>
        <w:jc w:val="both"/>
        <w:rPr>
          <w:rFonts w:eastAsiaTheme="minorHAnsi"/>
          <w:color w:val="auto"/>
          <w:lang w:eastAsia="en-US"/>
        </w:rPr>
      </w:pPr>
      <w:r w:rsidRPr="005111F7">
        <w:rPr>
          <w:color w:val="auto"/>
        </w:rPr>
        <w:t xml:space="preserve">В целом по Северу степень износа основных фондов в строительстве выше, чем по России, и, при этом,  имеет тенденцию к увеличению (с 55,7 % в 2017 г. до 56,8 % в 2022 г.). Практически во </w:t>
      </w:r>
      <w:r w:rsidRPr="005111F7">
        <w:rPr>
          <w:color w:val="auto"/>
        </w:rPr>
        <w:lastRenderedPageBreak/>
        <w:t>всех северных регионах в строительстве более половины основных фондов изношено. Критически высокая степень износа в 2022 г. наблюдалась в Республике Коми (75,7%), Ненецком АО (70,5%), Ямало-Ненецком АО (64,5%), Ханты-Мансийском АО (62,3%) и Республике Саха (Якутия) (60,7%), причём за исследуемый период везде произошёл рост изношенности. Нельзя не отметить кардинальное улучшение состояния основных фондов строительства в Чукотском АО, где степень износа снизилась с 60,5% в 20,17 г. до 28,7% в 2022 г.</w:t>
      </w:r>
    </w:p>
    <w:p w:rsidR="00B904B0" w:rsidRPr="005111F7" w:rsidRDefault="00B904B0" w:rsidP="005111F7">
      <w:pPr>
        <w:pStyle w:val="Default"/>
        <w:ind w:firstLine="709"/>
        <w:jc w:val="both"/>
        <w:rPr>
          <w:color w:val="auto"/>
        </w:rPr>
      </w:pPr>
      <w:r w:rsidRPr="005111F7">
        <w:rPr>
          <w:color w:val="auto"/>
        </w:rPr>
        <w:t>Необходимо подчеркнуть, что износ основных фондов в северных регионах, по строительной отрасли выше, чем в целом по всем отраслям экономики. В 2017 г. степень износа основных фондов в строительстве по Северу составляла 55,7 %, что выше в целом по экономике на 8,3 п.п., а в 2022 г. – на 15,4 п.п.</w:t>
      </w:r>
      <w:r w:rsidRPr="005111F7">
        <w:rPr>
          <w:color w:val="FF0000"/>
        </w:rPr>
        <w:t xml:space="preserve"> </w:t>
      </w:r>
      <w:r w:rsidRPr="005111F7">
        <w:rPr>
          <w:color w:val="auto"/>
        </w:rPr>
        <w:t>Высокий уровень износа и морально устаревшие основные фонды, вследствие чего – технологическая отсталость и низкая конкурентоспособность выпускаемой продукции являются одним из факторов, мешающих социально-экономическому развитию северных регионов.</w:t>
      </w:r>
    </w:p>
    <w:p w:rsidR="00B904B0" w:rsidRPr="005111F7" w:rsidRDefault="00914248" w:rsidP="00914248">
      <w:pPr>
        <w:pStyle w:val="10"/>
        <w:spacing w:before="0"/>
        <w:ind w:firstLine="709"/>
        <w:rPr>
          <w:rFonts w:ascii="Times New Roman" w:eastAsiaTheme="minorHAnsi" w:hAnsi="Times New Roman"/>
          <w:color w:val="000000"/>
          <w:sz w:val="24"/>
          <w:szCs w:val="24"/>
          <w:lang w:eastAsia="en-US"/>
        </w:rPr>
      </w:pPr>
      <w:r>
        <w:rPr>
          <w:rFonts w:ascii="Times New Roman" w:eastAsiaTheme="minorHAnsi" w:hAnsi="Times New Roman"/>
          <w:sz w:val="24"/>
          <w:szCs w:val="24"/>
          <w:lang w:eastAsia="en-US"/>
        </w:rPr>
        <w:t>Значимым</w:t>
      </w:r>
      <w:r w:rsidR="00B904B0" w:rsidRPr="005111F7">
        <w:rPr>
          <w:rFonts w:ascii="Times New Roman" w:eastAsiaTheme="minorHAnsi" w:hAnsi="Times New Roman"/>
          <w:sz w:val="24"/>
          <w:szCs w:val="24"/>
          <w:lang w:eastAsia="en-US"/>
        </w:rPr>
        <w:t xml:space="preserve"> индикатором эффективности использования ресурсов является производительность труда. </w:t>
      </w:r>
    </w:p>
    <w:p w:rsidR="00B904B0" w:rsidRPr="005111F7" w:rsidRDefault="00B904B0" w:rsidP="005111F7">
      <w:pPr>
        <w:pStyle w:val="10"/>
        <w:spacing w:before="0"/>
        <w:ind w:firstLine="709"/>
        <w:rPr>
          <w:rFonts w:ascii="Times New Roman" w:eastAsiaTheme="minorHAnsi" w:hAnsi="Times New Roman"/>
          <w:color w:val="000000"/>
          <w:sz w:val="24"/>
          <w:szCs w:val="24"/>
          <w:lang w:eastAsia="en-US"/>
        </w:rPr>
      </w:pPr>
      <w:r w:rsidRPr="005111F7">
        <w:rPr>
          <w:rFonts w:ascii="Times New Roman" w:eastAsiaTheme="minorHAnsi" w:hAnsi="Times New Roman"/>
          <w:color w:val="000000"/>
          <w:sz w:val="24"/>
          <w:szCs w:val="24"/>
          <w:lang w:eastAsia="en-US"/>
        </w:rPr>
        <w:t xml:space="preserve">В целом по северным регионам производительность труда в строительстве значительно превышает </w:t>
      </w:r>
      <w:proofErr w:type="spellStart"/>
      <w:r w:rsidRPr="005111F7">
        <w:rPr>
          <w:rFonts w:ascii="Times New Roman" w:eastAsiaTheme="minorHAnsi" w:hAnsi="Times New Roman"/>
          <w:color w:val="000000"/>
          <w:sz w:val="24"/>
          <w:szCs w:val="24"/>
          <w:lang w:eastAsia="en-US"/>
        </w:rPr>
        <w:t>среднероссийские</w:t>
      </w:r>
      <w:proofErr w:type="spellEnd"/>
      <w:r w:rsidRPr="005111F7">
        <w:rPr>
          <w:rFonts w:ascii="Times New Roman" w:eastAsiaTheme="minorHAnsi" w:hAnsi="Times New Roman"/>
          <w:color w:val="000000"/>
          <w:sz w:val="24"/>
          <w:szCs w:val="24"/>
          <w:lang w:eastAsia="en-US"/>
        </w:rPr>
        <w:t xml:space="preserve"> значения – в 202</w:t>
      </w:r>
      <w:r w:rsidR="00914248">
        <w:rPr>
          <w:rFonts w:ascii="Times New Roman" w:eastAsiaTheme="minorHAnsi" w:hAnsi="Times New Roman"/>
          <w:color w:val="000000"/>
          <w:sz w:val="24"/>
          <w:szCs w:val="24"/>
          <w:lang w:eastAsia="en-US"/>
        </w:rPr>
        <w:t>2</w:t>
      </w:r>
      <w:r w:rsidRPr="005111F7">
        <w:rPr>
          <w:rFonts w:ascii="Times New Roman" w:eastAsiaTheme="minorHAnsi" w:hAnsi="Times New Roman"/>
          <w:color w:val="000000"/>
          <w:sz w:val="24"/>
          <w:szCs w:val="24"/>
          <w:lang w:eastAsia="en-US"/>
        </w:rPr>
        <w:t xml:space="preserve"> г. 4,5 против 2,6 млн. руб. на одного занятого, что связано с действием удорожающих факторов на Севере. Т.е. относительно других территорий ВДС в северных территориях выше, и при этом более низкая занятость. </w:t>
      </w:r>
    </w:p>
    <w:p w:rsidR="00B904B0" w:rsidRPr="005111F7" w:rsidRDefault="00B904B0" w:rsidP="005111F7">
      <w:pPr>
        <w:autoSpaceDE w:val="0"/>
        <w:autoSpaceDN w:val="0"/>
        <w:adjustRightInd w:val="0"/>
        <w:ind w:firstLine="709"/>
        <w:jc w:val="both"/>
        <w:rPr>
          <w:rFonts w:eastAsiaTheme="minorHAnsi"/>
          <w:sz w:val="24"/>
          <w:szCs w:val="24"/>
          <w:lang w:eastAsia="en-US"/>
        </w:rPr>
      </w:pPr>
      <w:r w:rsidRPr="005111F7">
        <w:rPr>
          <w:rFonts w:eastAsiaTheme="minorHAnsi"/>
          <w:sz w:val="24"/>
          <w:szCs w:val="24"/>
          <w:lang w:eastAsia="en-US"/>
        </w:rPr>
        <w:t>По Северу и России в целом за исследуемый период наблюдалась положительная динамика изменения производительности труда. При этом</w:t>
      </w:r>
      <w:proofErr w:type="gramStart"/>
      <w:r w:rsidRPr="005111F7">
        <w:rPr>
          <w:rFonts w:eastAsiaTheme="minorHAnsi"/>
          <w:sz w:val="24"/>
          <w:szCs w:val="24"/>
          <w:lang w:eastAsia="en-US"/>
        </w:rPr>
        <w:t>,</w:t>
      </w:r>
      <w:proofErr w:type="gramEnd"/>
      <w:r w:rsidRPr="005111F7">
        <w:rPr>
          <w:rFonts w:eastAsiaTheme="minorHAnsi"/>
          <w:sz w:val="24"/>
          <w:szCs w:val="24"/>
          <w:lang w:eastAsia="en-US"/>
        </w:rPr>
        <w:t xml:space="preserve"> следует отметить, что в 202</w:t>
      </w:r>
      <w:r w:rsidR="00914248">
        <w:rPr>
          <w:rFonts w:eastAsiaTheme="minorHAnsi"/>
          <w:sz w:val="24"/>
          <w:szCs w:val="24"/>
          <w:lang w:eastAsia="en-US"/>
        </w:rPr>
        <w:t>2</w:t>
      </w:r>
      <w:r w:rsidRPr="005111F7">
        <w:rPr>
          <w:rFonts w:eastAsiaTheme="minorHAnsi"/>
          <w:sz w:val="24"/>
          <w:szCs w:val="24"/>
          <w:lang w:eastAsia="en-US"/>
        </w:rPr>
        <w:t> г. относительно предыдущего года, кроме Ямало-Ненецкого АО, на всех северных территориях отмечен рост. Лидерами роста являлись Сахалинская область (рост в 202</w:t>
      </w:r>
      <w:r w:rsidR="00914248">
        <w:rPr>
          <w:rFonts w:eastAsiaTheme="minorHAnsi"/>
          <w:sz w:val="24"/>
          <w:szCs w:val="24"/>
          <w:lang w:eastAsia="en-US"/>
        </w:rPr>
        <w:t>2</w:t>
      </w:r>
      <w:r w:rsidRPr="005111F7">
        <w:rPr>
          <w:rFonts w:eastAsiaTheme="minorHAnsi"/>
          <w:sz w:val="24"/>
          <w:szCs w:val="24"/>
          <w:lang w:eastAsia="en-US"/>
        </w:rPr>
        <w:t> г. относительно 2017 г. в 3,2 раза), Республика Карелия (в 2,8 раза), Камчатский край (в 2 раза), Чукотский АО (в 1,7 раза) и Ненецкий АО (</w:t>
      </w:r>
      <w:proofErr w:type="gramStart"/>
      <w:r w:rsidRPr="005111F7">
        <w:rPr>
          <w:rFonts w:eastAsiaTheme="minorHAnsi"/>
          <w:sz w:val="24"/>
          <w:szCs w:val="24"/>
          <w:lang w:eastAsia="en-US"/>
        </w:rPr>
        <w:t>в</w:t>
      </w:r>
      <w:proofErr w:type="gramEnd"/>
      <w:r w:rsidRPr="005111F7">
        <w:rPr>
          <w:rFonts w:eastAsiaTheme="minorHAnsi"/>
          <w:sz w:val="24"/>
          <w:szCs w:val="24"/>
          <w:lang w:eastAsia="en-US"/>
        </w:rPr>
        <w:t xml:space="preserve"> 1,6 раза). В аутсайдеры попали Ненецкий АО, Ямало-Ненецкий АО  и Магаданская область, где зафиксировано падение на 20-25%.</w:t>
      </w:r>
    </w:p>
    <w:p w:rsidR="00B904B0" w:rsidRPr="005111F7" w:rsidRDefault="00B904B0" w:rsidP="005111F7">
      <w:pPr>
        <w:autoSpaceDE w:val="0"/>
        <w:autoSpaceDN w:val="0"/>
        <w:adjustRightInd w:val="0"/>
        <w:ind w:firstLine="709"/>
        <w:jc w:val="both"/>
        <w:rPr>
          <w:sz w:val="24"/>
          <w:szCs w:val="24"/>
        </w:rPr>
      </w:pPr>
      <w:r w:rsidRPr="005111F7">
        <w:rPr>
          <w:sz w:val="24"/>
          <w:szCs w:val="24"/>
        </w:rPr>
        <w:t>Важнейшим базовым индикатором, характеризующим строительный комплекс, являются инвестиции в основной капитал</w:t>
      </w:r>
      <w:r w:rsidR="00914248">
        <w:rPr>
          <w:sz w:val="24"/>
          <w:szCs w:val="24"/>
        </w:rPr>
        <w:t xml:space="preserve">. </w:t>
      </w:r>
      <w:r w:rsidRPr="005111F7">
        <w:rPr>
          <w:sz w:val="24"/>
          <w:szCs w:val="24"/>
        </w:rPr>
        <w:t>Существующие классификации инвестиций должны способствовать внедрению эффективности использования инвестиционной политики в северных регионах. [</w:t>
      </w:r>
      <w:r w:rsidR="004604A8">
        <w:rPr>
          <w:sz w:val="24"/>
          <w:szCs w:val="24"/>
        </w:rPr>
        <w:t>5</w:t>
      </w:r>
      <w:r w:rsidRPr="005111F7">
        <w:rPr>
          <w:sz w:val="24"/>
          <w:szCs w:val="24"/>
        </w:rPr>
        <w:t>, с. 32-37].</w:t>
      </w:r>
      <w:r w:rsidRPr="005111F7">
        <w:rPr>
          <w:color w:val="FF0000"/>
          <w:sz w:val="24"/>
          <w:szCs w:val="24"/>
        </w:rPr>
        <w:t xml:space="preserve"> </w:t>
      </w:r>
      <w:r w:rsidRPr="005111F7">
        <w:rPr>
          <w:sz w:val="24"/>
          <w:szCs w:val="24"/>
        </w:rPr>
        <w:t xml:space="preserve">Кроме того, движение в сторону результата зависит от состояния процессов в среде управления инвестициями и сопряженной с ними инвестиционной деятельностью в период </w:t>
      </w:r>
      <w:proofErr w:type="spellStart"/>
      <w:r w:rsidRPr="005111F7">
        <w:rPr>
          <w:sz w:val="24"/>
          <w:szCs w:val="24"/>
        </w:rPr>
        <w:t>санкционных</w:t>
      </w:r>
      <w:proofErr w:type="spellEnd"/>
      <w:r w:rsidRPr="005111F7">
        <w:rPr>
          <w:sz w:val="24"/>
          <w:szCs w:val="24"/>
        </w:rPr>
        <w:t xml:space="preserve"> ограничений [6].  При этом</w:t>
      </w:r>
      <w:proofErr w:type="gramStart"/>
      <w:r w:rsidRPr="005111F7">
        <w:rPr>
          <w:sz w:val="24"/>
          <w:szCs w:val="24"/>
        </w:rPr>
        <w:t>,</w:t>
      </w:r>
      <w:proofErr w:type="gramEnd"/>
      <w:r w:rsidRPr="005111F7">
        <w:rPr>
          <w:sz w:val="24"/>
          <w:szCs w:val="24"/>
        </w:rPr>
        <w:t xml:space="preserve"> следует отметить, что </w:t>
      </w:r>
      <w:r w:rsidRPr="005111F7">
        <w:rPr>
          <w:sz w:val="24"/>
          <w:szCs w:val="24"/>
        </w:rPr>
        <w:lastRenderedPageBreak/>
        <w:t>несмотря это региональная инвестиционная политика активизируется</w:t>
      </w:r>
      <w:r w:rsidRPr="005111F7">
        <w:rPr>
          <w:color w:val="FF0000"/>
          <w:sz w:val="24"/>
          <w:szCs w:val="24"/>
        </w:rPr>
        <w:t xml:space="preserve">, </w:t>
      </w:r>
      <w:r w:rsidRPr="005111F7">
        <w:rPr>
          <w:sz w:val="24"/>
          <w:szCs w:val="24"/>
        </w:rPr>
        <w:t>тем самым происходит усиление конкуренции за привлечение инвестиционных ресурсов [7].</w:t>
      </w:r>
    </w:p>
    <w:p w:rsidR="00B904B0" w:rsidRDefault="00B904B0" w:rsidP="00D80C3D">
      <w:pPr>
        <w:autoSpaceDE w:val="0"/>
        <w:autoSpaceDN w:val="0"/>
        <w:adjustRightInd w:val="0"/>
        <w:ind w:firstLine="709"/>
        <w:jc w:val="both"/>
      </w:pPr>
      <w:r w:rsidRPr="005111F7">
        <w:rPr>
          <w:sz w:val="24"/>
          <w:szCs w:val="24"/>
        </w:rPr>
        <w:t xml:space="preserve">За период 2017-2022 гг. в инвестиционных процессах в северных регионах наблюдались разнонаправленные тенденции </w:t>
      </w:r>
    </w:p>
    <w:p w:rsidR="00B904B0" w:rsidRPr="005111F7" w:rsidRDefault="00B904B0" w:rsidP="00D80C3D">
      <w:pPr>
        <w:pStyle w:val="10"/>
        <w:spacing w:before="0"/>
        <w:ind w:firstLine="709"/>
        <w:rPr>
          <w:rFonts w:ascii="Times New Roman" w:hAnsi="Times New Roman"/>
          <w:sz w:val="24"/>
          <w:szCs w:val="24"/>
        </w:rPr>
      </w:pPr>
      <w:r w:rsidRPr="005111F7">
        <w:rPr>
          <w:rFonts w:ascii="Times New Roman" w:hAnsi="Times New Roman"/>
          <w:sz w:val="24"/>
          <w:szCs w:val="24"/>
        </w:rPr>
        <w:t xml:space="preserve">В среднем по Северу объём капиталовложений на одного работающего превышает </w:t>
      </w:r>
      <w:proofErr w:type="spellStart"/>
      <w:r w:rsidRPr="005111F7">
        <w:rPr>
          <w:rFonts w:ascii="Times New Roman" w:hAnsi="Times New Roman"/>
          <w:sz w:val="24"/>
          <w:szCs w:val="24"/>
        </w:rPr>
        <w:t>среднероссийское</w:t>
      </w:r>
      <w:proofErr w:type="spellEnd"/>
      <w:r w:rsidRPr="005111F7">
        <w:rPr>
          <w:rFonts w:ascii="Times New Roman" w:hAnsi="Times New Roman"/>
          <w:sz w:val="24"/>
          <w:szCs w:val="24"/>
        </w:rPr>
        <w:t xml:space="preserve"> значение в 2022 г. в 3,3 раза. Так, если в целом по России данный индикатор увеличился в 2,8 раза, то по Северу – в 7 раз. Наибольшее влияние на это оказали Ямало-Ненецкий АО (рост в 93,6 раза) и Республика Саха (в 42 раза). В 29 раз увеличился показатель в Чукотском АО, однако номинальное значение не столь велико. Негативные явления в инвестиционной деятельности наблюдались в Архангельской области. Так, если в 2017 г. здесь на одного приходилось 1,6 млн. руб. (в 3,7 раза выше, чем в целом по Северу), то в 2022 г. лишь 136 тыс. руб. (в 11,9 раз меньше). Высокие значения в 2017 г. зафиксированы и в Республике Коми (1,7 млн. руб. на одного занятого), однако и здесь произошло снижение в 1,5 раза. Специализация этих территорий на  добыче углеводородного сырья  требует больших финансовых вливаний в  инфраструктурные проекты в  строительстве. </w:t>
      </w:r>
      <w:proofErr w:type="gramStart"/>
      <w:r w:rsidRPr="005111F7">
        <w:rPr>
          <w:rFonts w:ascii="Times New Roman" w:hAnsi="Times New Roman"/>
          <w:sz w:val="24"/>
          <w:szCs w:val="24"/>
        </w:rPr>
        <w:t>Низкие значения в 2022 г. наблюдались в Ненецком АО (28,6 тыс. руб. на одного занятого), Архангельской области (136 тыс. руб.),  Магаданской области (306,8 тыс. руб.), Камчатском крае (345 тыс. руб.) и Ханты-Мансийском АО (357,5 тыс. руб.) [8].</w:t>
      </w:r>
      <w:proofErr w:type="gramEnd"/>
    </w:p>
    <w:p w:rsidR="00B904B0" w:rsidRDefault="00B904B0" w:rsidP="00D80C3D">
      <w:pPr>
        <w:pStyle w:val="10"/>
        <w:spacing w:before="0"/>
        <w:ind w:firstLine="709"/>
        <w:rPr>
          <w:sz w:val="22"/>
          <w:szCs w:val="22"/>
        </w:rPr>
      </w:pPr>
      <w:r w:rsidRPr="005111F7">
        <w:rPr>
          <w:rFonts w:ascii="Times New Roman" w:hAnsi="Times New Roman"/>
          <w:sz w:val="24"/>
          <w:szCs w:val="24"/>
        </w:rPr>
        <w:t>Особый интерес вызывает пространственная структура инвестиций в основной капитал северных регионов, которая претерпела за рассматриваемый период кардинальные изменения.</w:t>
      </w:r>
      <w:r w:rsidR="00D80C3D">
        <w:rPr>
          <w:sz w:val="22"/>
          <w:szCs w:val="22"/>
        </w:rPr>
        <w:t xml:space="preserve"> </w:t>
      </w:r>
    </w:p>
    <w:p w:rsidR="00B904B0" w:rsidRPr="005111F7" w:rsidRDefault="00B904B0" w:rsidP="00D80C3D">
      <w:pPr>
        <w:autoSpaceDE w:val="0"/>
        <w:autoSpaceDN w:val="0"/>
        <w:adjustRightInd w:val="0"/>
        <w:ind w:firstLine="709"/>
        <w:jc w:val="both"/>
        <w:rPr>
          <w:rFonts w:eastAsiaTheme="minorHAnsi"/>
          <w:sz w:val="24"/>
          <w:szCs w:val="24"/>
          <w:lang w:eastAsia="en-US"/>
        </w:rPr>
      </w:pPr>
      <w:r w:rsidRPr="005111F7">
        <w:rPr>
          <w:rFonts w:eastAsiaTheme="minorHAnsi"/>
          <w:sz w:val="24"/>
          <w:szCs w:val="24"/>
          <w:lang w:eastAsia="en-US"/>
        </w:rPr>
        <w:t>Основная доля (83,7%) инвестиций в основной капитал в 2017 г. в строительстве приходилась на четыре региона – Республику Коми, Архангельскую область, Ханты-Мансийский АО и Сахалинскую область. Остальные восемь территорий занимали всего 16,4%. Лидером по инвестициям в основной капитал являлась Республика Коми, на которую приходилось почти треть всего объёма. Мизерные показатели демонстрировал Чукотский АО (0,01%), Ненецкий АО (0,1%), Магаданская область  (0,3%) и Камчатский край (0,4%).</w:t>
      </w:r>
    </w:p>
    <w:p w:rsidR="00B904B0" w:rsidRPr="005111F7" w:rsidRDefault="00B904B0" w:rsidP="005111F7">
      <w:pPr>
        <w:autoSpaceDE w:val="0"/>
        <w:autoSpaceDN w:val="0"/>
        <w:adjustRightInd w:val="0"/>
        <w:ind w:firstLine="709"/>
        <w:jc w:val="both"/>
        <w:rPr>
          <w:rFonts w:eastAsiaTheme="minorHAnsi"/>
          <w:sz w:val="24"/>
          <w:szCs w:val="24"/>
          <w:lang w:eastAsia="en-US"/>
        </w:rPr>
      </w:pPr>
      <w:r w:rsidRPr="005111F7">
        <w:rPr>
          <w:rFonts w:eastAsiaTheme="minorHAnsi"/>
          <w:sz w:val="24"/>
          <w:szCs w:val="24"/>
          <w:lang w:eastAsia="en-US"/>
        </w:rPr>
        <w:t xml:space="preserve">В 2022 г. пространственная структура инвестиций в основной капитал в строительной отрасли изменилась существенно. Теперь на три территории приходилась основная часть (91,6%) и лишь 8,4% на остальные девять северных регионов. Примечательно, что среди «лидеров» в данной структуре лишь в Сахалинской области участие в формировании территориальной структуры капиталовложений стабильно. Такая ситуация среди «аутсайдеров», к которым относятся Ненецкий АО, Камчатский край, Магаданская область и Чукотский АО, у которых доля инвестиций в основной капитал от общего объёма по </w:t>
      </w:r>
      <w:r w:rsidRPr="005111F7">
        <w:rPr>
          <w:rFonts w:eastAsiaTheme="minorHAnsi"/>
          <w:sz w:val="24"/>
          <w:szCs w:val="24"/>
          <w:lang w:eastAsia="en-US"/>
        </w:rPr>
        <w:lastRenderedPageBreak/>
        <w:t>Северу колебалась на протяжении рассматриваемого периода в диапазоне 0,01-0,6%.</w:t>
      </w:r>
    </w:p>
    <w:p w:rsidR="00B904B0" w:rsidRPr="005111F7" w:rsidRDefault="00B904B0" w:rsidP="005111F7">
      <w:pPr>
        <w:autoSpaceDE w:val="0"/>
        <w:autoSpaceDN w:val="0"/>
        <w:adjustRightInd w:val="0"/>
        <w:ind w:firstLine="709"/>
        <w:jc w:val="both"/>
        <w:rPr>
          <w:sz w:val="24"/>
          <w:szCs w:val="24"/>
        </w:rPr>
      </w:pPr>
      <w:r w:rsidRPr="005111F7">
        <w:rPr>
          <w:rFonts w:eastAsiaTheme="minorHAnsi"/>
          <w:sz w:val="24"/>
          <w:szCs w:val="24"/>
          <w:lang w:eastAsia="en-US"/>
        </w:rPr>
        <w:t>Такие значительные трансформации и диспропорции в пространственной структуре инвестиций в основной капитал объясняется, главным образом, осуществлением крупных инвестиционных проектов в газо-нефтедобывающих и перерабатывающих северных регионах.  Кроме того такая специфика является</w:t>
      </w:r>
      <w:r w:rsidRPr="005111F7">
        <w:rPr>
          <w:sz w:val="24"/>
          <w:szCs w:val="24"/>
        </w:rPr>
        <w:t xml:space="preserve"> естественной с учетом большой территории, различных географических и </w:t>
      </w:r>
      <w:proofErr w:type="spellStart"/>
      <w:r w:rsidRPr="005111F7">
        <w:rPr>
          <w:sz w:val="24"/>
          <w:szCs w:val="24"/>
        </w:rPr>
        <w:t>логистических</w:t>
      </w:r>
      <w:proofErr w:type="spellEnd"/>
      <w:r w:rsidRPr="005111F7">
        <w:rPr>
          <w:sz w:val="24"/>
          <w:szCs w:val="24"/>
        </w:rPr>
        <w:t xml:space="preserve"> условий, что выливается в неравномерность социально-экономического развития не только на Севере, но и страны в целом. [9, с.221].</w:t>
      </w:r>
    </w:p>
    <w:p w:rsidR="00B904B0" w:rsidRPr="005111F7" w:rsidRDefault="00B904B0" w:rsidP="005111F7">
      <w:pPr>
        <w:pStyle w:val="10"/>
        <w:spacing w:before="0"/>
        <w:ind w:firstLine="709"/>
        <w:rPr>
          <w:rFonts w:ascii="Times New Roman" w:hAnsi="Times New Roman"/>
          <w:sz w:val="24"/>
          <w:szCs w:val="24"/>
        </w:rPr>
      </w:pPr>
      <w:r w:rsidRPr="005111F7">
        <w:rPr>
          <w:rFonts w:ascii="Times New Roman" w:hAnsi="Times New Roman"/>
          <w:sz w:val="24"/>
          <w:szCs w:val="24"/>
        </w:rPr>
        <w:t xml:space="preserve">Подводя итог, необходимо подчеркнуть, что непростые природно-климатические, </w:t>
      </w:r>
      <w:proofErr w:type="spellStart"/>
      <w:r w:rsidRPr="005111F7">
        <w:rPr>
          <w:rFonts w:ascii="Times New Roman" w:hAnsi="Times New Roman"/>
          <w:sz w:val="24"/>
          <w:szCs w:val="24"/>
        </w:rPr>
        <w:t>транспортно-логистические</w:t>
      </w:r>
      <w:proofErr w:type="spellEnd"/>
      <w:r w:rsidRPr="005111F7">
        <w:rPr>
          <w:rFonts w:ascii="Times New Roman" w:hAnsi="Times New Roman"/>
          <w:sz w:val="24"/>
          <w:szCs w:val="24"/>
        </w:rPr>
        <w:t xml:space="preserve"> и другие условия строительства требуют постоянного внимания и особого подхода к строительству. Важным является разработка и внедрение государственных программ поддержки строительной отрасли, от успешной реализации которых зависит комфорт, безопасные условия труда и проживания для жителей Севера.</w:t>
      </w:r>
    </w:p>
    <w:p w:rsidR="00B904B0" w:rsidRDefault="00B904B0" w:rsidP="00B904B0">
      <w:pPr>
        <w:pStyle w:val="10"/>
        <w:spacing w:before="0"/>
        <w:ind w:firstLine="709"/>
        <w:rPr>
          <w:rFonts w:ascii="Times New Roman" w:hAnsi="Times New Roman"/>
          <w:sz w:val="22"/>
          <w:szCs w:val="22"/>
        </w:rPr>
      </w:pPr>
    </w:p>
    <w:p w:rsidR="00B904B0" w:rsidRPr="00511587" w:rsidRDefault="00B904B0" w:rsidP="00B904B0">
      <w:pPr>
        <w:jc w:val="both"/>
        <w:rPr>
          <w:sz w:val="22"/>
          <w:szCs w:val="22"/>
        </w:rPr>
      </w:pPr>
      <w:r>
        <w:t xml:space="preserve">   </w:t>
      </w:r>
      <w:r w:rsidRPr="00511587">
        <w:rPr>
          <w:i/>
          <w:sz w:val="22"/>
          <w:szCs w:val="22"/>
        </w:rPr>
        <w:t xml:space="preserve">Статья подготовлена в рамках плановой темы НИР </w:t>
      </w:r>
      <w:proofErr w:type="spellStart"/>
      <w:r w:rsidRPr="00511587">
        <w:rPr>
          <w:i/>
          <w:sz w:val="22"/>
          <w:szCs w:val="22"/>
        </w:rPr>
        <w:t>ИСЭиЭПС</w:t>
      </w:r>
      <w:proofErr w:type="spellEnd"/>
      <w:r w:rsidRPr="00511587">
        <w:rPr>
          <w:i/>
          <w:sz w:val="22"/>
          <w:szCs w:val="22"/>
        </w:rPr>
        <w:t xml:space="preserve"> ФИЦ Коми НЦ </w:t>
      </w:r>
      <w:proofErr w:type="spellStart"/>
      <w:r w:rsidRPr="00511587">
        <w:rPr>
          <w:i/>
          <w:sz w:val="22"/>
          <w:szCs w:val="22"/>
        </w:rPr>
        <w:t>УрО</w:t>
      </w:r>
      <w:proofErr w:type="spellEnd"/>
      <w:r w:rsidRPr="00511587">
        <w:rPr>
          <w:i/>
          <w:sz w:val="22"/>
          <w:szCs w:val="22"/>
        </w:rPr>
        <w:t xml:space="preserve"> РАН «Реальный сектор экономики северных регионов России: проблемы и перспективы». Регистрационный номер: 122031500421.</w:t>
      </w:r>
    </w:p>
    <w:p w:rsidR="00B904B0" w:rsidRPr="005160FC" w:rsidRDefault="00B904B0" w:rsidP="00B904B0">
      <w:pPr>
        <w:pStyle w:val="10"/>
        <w:spacing w:before="0"/>
        <w:ind w:firstLine="709"/>
        <w:rPr>
          <w:rFonts w:ascii="Times New Roman" w:hAnsi="Times New Roman"/>
          <w:sz w:val="22"/>
          <w:szCs w:val="22"/>
        </w:rPr>
      </w:pPr>
    </w:p>
    <w:p w:rsidR="00B904B0" w:rsidRDefault="00B904B0" w:rsidP="00B904B0">
      <w:pPr>
        <w:tabs>
          <w:tab w:val="left" w:pos="6521"/>
        </w:tabs>
        <w:suppressAutoHyphens/>
        <w:jc w:val="both"/>
        <w:rPr>
          <w:b/>
          <w:bCs/>
          <w:color w:val="000000" w:themeColor="text1"/>
          <w:sz w:val="22"/>
          <w:szCs w:val="22"/>
        </w:rPr>
      </w:pPr>
      <w:r w:rsidRPr="005160FC">
        <w:rPr>
          <w:b/>
          <w:bCs/>
          <w:color w:val="000000" w:themeColor="text1"/>
          <w:sz w:val="22"/>
          <w:szCs w:val="22"/>
        </w:rPr>
        <w:t>Список литературы:</w:t>
      </w:r>
    </w:p>
    <w:p w:rsidR="00B904B0" w:rsidRDefault="00B904B0" w:rsidP="00B904B0">
      <w:pPr>
        <w:spacing w:line="264" w:lineRule="auto"/>
        <w:jc w:val="both"/>
        <w:rPr>
          <w:sz w:val="22"/>
          <w:szCs w:val="22"/>
        </w:rPr>
      </w:pPr>
    </w:p>
    <w:p w:rsidR="00B904B0" w:rsidRPr="00E61763" w:rsidRDefault="00B904B0" w:rsidP="00B904B0">
      <w:pPr>
        <w:pStyle w:val="a4"/>
        <w:numPr>
          <w:ilvl w:val="0"/>
          <w:numId w:val="5"/>
        </w:numPr>
        <w:tabs>
          <w:tab w:val="left" w:pos="1134"/>
        </w:tabs>
        <w:ind w:left="0" w:firstLine="709"/>
        <w:jc w:val="both"/>
      </w:pPr>
      <w:r w:rsidRPr="00E61763">
        <w:rPr>
          <w:sz w:val="22"/>
          <w:szCs w:val="22"/>
        </w:rPr>
        <w:t xml:space="preserve">Система национальных счетов – Брюссель/Люксембург, Вашингтон, Нью-Йорк, Париж: под эгидой </w:t>
      </w:r>
      <w:proofErr w:type="spellStart"/>
      <w:r w:rsidRPr="00E61763">
        <w:rPr>
          <w:sz w:val="22"/>
          <w:szCs w:val="22"/>
        </w:rPr>
        <w:t>Межсекретариатской</w:t>
      </w:r>
      <w:proofErr w:type="spellEnd"/>
      <w:r w:rsidRPr="00E61763">
        <w:rPr>
          <w:sz w:val="22"/>
          <w:szCs w:val="22"/>
        </w:rPr>
        <w:t xml:space="preserve"> рабочей группы по национальным счетам, </w:t>
      </w:r>
      <w:proofErr w:type="spellStart"/>
      <w:r w:rsidRPr="00E61763">
        <w:rPr>
          <w:sz w:val="22"/>
          <w:szCs w:val="22"/>
        </w:rPr>
        <w:t>Евростата</w:t>
      </w:r>
      <w:proofErr w:type="spellEnd"/>
      <w:r w:rsidRPr="00E61763">
        <w:rPr>
          <w:sz w:val="22"/>
          <w:szCs w:val="22"/>
        </w:rPr>
        <w:t>, МВФ, ОЭСР, ООН, Всемирного банка. – 1998.</w:t>
      </w:r>
    </w:p>
    <w:p w:rsidR="00B904B0" w:rsidRPr="00E61763" w:rsidRDefault="00B904B0" w:rsidP="00B904B0">
      <w:pPr>
        <w:pStyle w:val="a4"/>
        <w:numPr>
          <w:ilvl w:val="0"/>
          <w:numId w:val="5"/>
        </w:numPr>
        <w:tabs>
          <w:tab w:val="left" w:pos="1134"/>
        </w:tabs>
        <w:ind w:left="0" w:firstLine="709"/>
        <w:jc w:val="both"/>
      </w:pPr>
      <w:r w:rsidRPr="00E61763">
        <w:rPr>
          <w:sz w:val="22"/>
          <w:szCs w:val="22"/>
        </w:rPr>
        <w:t>Макроэкономическая динамика северных регионов России. Коллектив авторов. – Сыктывкар, 2009. – 336 с. (Коми научный центр РАН).</w:t>
      </w:r>
    </w:p>
    <w:p w:rsidR="00B904B0" w:rsidRPr="00E61763" w:rsidRDefault="00B904B0" w:rsidP="00B904B0">
      <w:pPr>
        <w:pStyle w:val="a4"/>
        <w:numPr>
          <w:ilvl w:val="0"/>
          <w:numId w:val="5"/>
        </w:numPr>
        <w:tabs>
          <w:tab w:val="left" w:pos="1134"/>
        </w:tabs>
        <w:ind w:left="0" w:firstLine="709"/>
        <w:jc w:val="both"/>
      </w:pPr>
      <w:r w:rsidRPr="00E61763">
        <w:rPr>
          <w:sz w:val="22"/>
          <w:szCs w:val="22"/>
        </w:rPr>
        <w:t xml:space="preserve">Единая межведомственная информационно-статистическая система (ЕМИСС). </w:t>
      </w:r>
      <w:proofErr w:type="spellStart"/>
      <w:r w:rsidRPr="00E61763">
        <w:rPr>
          <w:sz w:val="22"/>
          <w:szCs w:val="22"/>
        </w:rPr>
        <w:t>Оф</w:t>
      </w:r>
      <w:proofErr w:type="spellEnd"/>
      <w:r w:rsidRPr="00E61763">
        <w:rPr>
          <w:sz w:val="22"/>
          <w:szCs w:val="22"/>
        </w:rPr>
        <w:t>. сайт. [Электронный ресурс]. Режим доступа: https://www.fedstat.ru/</w:t>
      </w:r>
    </w:p>
    <w:p w:rsidR="00B904B0" w:rsidRPr="00E61763" w:rsidRDefault="00B904B0" w:rsidP="00B904B0">
      <w:pPr>
        <w:pStyle w:val="a4"/>
        <w:numPr>
          <w:ilvl w:val="0"/>
          <w:numId w:val="5"/>
        </w:numPr>
        <w:tabs>
          <w:tab w:val="left" w:pos="1134"/>
        </w:tabs>
        <w:ind w:left="0" w:firstLine="709"/>
        <w:jc w:val="both"/>
      </w:pPr>
      <w:r w:rsidRPr="00E61763">
        <w:rPr>
          <w:rFonts w:eastAsiaTheme="minorHAnsi"/>
          <w:sz w:val="22"/>
          <w:szCs w:val="22"/>
          <w:lang w:eastAsia="en-US"/>
        </w:rPr>
        <w:t>Дмитриева, Г. С. Экономика организации (предприятия): учеб</w:t>
      </w:r>
      <w:proofErr w:type="gramStart"/>
      <w:r w:rsidRPr="00E61763">
        <w:rPr>
          <w:rFonts w:eastAsiaTheme="minorHAnsi"/>
          <w:sz w:val="22"/>
          <w:szCs w:val="22"/>
          <w:lang w:eastAsia="en-US"/>
        </w:rPr>
        <w:t>.</w:t>
      </w:r>
      <w:proofErr w:type="gramEnd"/>
      <w:r w:rsidRPr="00E61763">
        <w:rPr>
          <w:rFonts w:eastAsiaTheme="minorHAnsi"/>
          <w:sz w:val="22"/>
          <w:szCs w:val="22"/>
          <w:lang w:eastAsia="en-US"/>
        </w:rPr>
        <w:t xml:space="preserve"> </w:t>
      </w:r>
      <w:proofErr w:type="gramStart"/>
      <w:r w:rsidRPr="00E61763">
        <w:rPr>
          <w:rFonts w:eastAsiaTheme="minorHAnsi"/>
          <w:sz w:val="22"/>
          <w:szCs w:val="22"/>
          <w:lang w:eastAsia="en-US"/>
        </w:rPr>
        <w:t>п</w:t>
      </w:r>
      <w:proofErr w:type="gramEnd"/>
      <w:r w:rsidRPr="00E61763">
        <w:rPr>
          <w:rFonts w:eastAsiaTheme="minorHAnsi"/>
          <w:sz w:val="22"/>
          <w:szCs w:val="22"/>
          <w:lang w:eastAsia="en-US"/>
        </w:rPr>
        <w:t xml:space="preserve">особие. – СПб.: ГУАП, 2016. – 207 </w:t>
      </w:r>
      <w:proofErr w:type="gramStart"/>
      <w:r w:rsidRPr="00E61763">
        <w:rPr>
          <w:rFonts w:eastAsiaTheme="minorHAnsi"/>
          <w:sz w:val="22"/>
          <w:szCs w:val="22"/>
          <w:lang w:eastAsia="en-US"/>
        </w:rPr>
        <w:t>с</w:t>
      </w:r>
      <w:proofErr w:type="gramEnd"/>
      <w:r w:rsidRPr="00E61763">
        <w:rPr>
          <w:rFonts w:eastAsiaTheme="minorHAnsi"/>
          <w:sz w:val="22"/>
          <w:szCs w:val="22"/>
          <w:lang w:eastAsia="en-US"/>
        </w:rPr>
        <w:t>.</w:t>
      </w:r>
    </w:p>
    <w:p w:rsidR="00B904B0" w:rsidRPr="00E61763" w:rsidRDefault="00B904B0" w:rsidP="00B904B0">
      <w:pPr>
        <w:pStyle w:val="a4"/>
        <w:numPr>
          <w:ilvl w:val="0"/>
          <w:numId w:val="5"/>
        </w:numPr>
        <w:tabs>
          <w:tab w:val="left" w:pos="1134"/>
        </w:tabs>
        <w:ind w:left="0" w:firstLine="709"/>
        <w:jc w:val="both"/>
      </w:pPr>
      <w:proofErr w:type="spellStart"/>
      <w:r w:rsidRPr="00E61763">
        <w:rPr>
          <w:bCs/>
          <w:sz w:val="22"/>
          <w:szCs w:val="22"/>
        </w:rPr>
        <w:t>Инновационно-инвестиционная</w:t>
      </w:r>
      <w:proofErr w:type="spellEnd"/>
      <w:r w:rsidRPr="00E61763">
        <w:rPr>
          <w:bCs/>
          <w:sz w:val="22"/>
          <w:szCs w:val="22"/>
        </w:rPr>
        <w:t xml:space="preserve"> система северных регионов России: проблемы и перспективы / Коллектив авторов</w:t>
      </w:r>
      <w:r w:rsidRPr="00E61763">
        <w:rPr>
          <w:sz w:val="22"/>
          <w:szCs w:val="22"/>
        </w:rPr>
        <w:t xml:space="preserve">. – Сыктывкар: ООО «Коми республиканская типография. – 2017. – </w:t>
      </w:r>
      <w:r w:rsidRPr="00E61763">
        <w:rPr>
          <w:color w:val="000000" w:themeColor="text1"/>
          <w:sz w:val="22"/>
          <w:szCs w:val="22"/>
        </w:rPr>
        <w:t>300 </w:t>
      </w:r>
      <w:proofErr w:type="gramStart"/>
      <w:r w:rsidRPr="00E61763">
        <w:rPr>
          <w:color w:val="000000" w:themeColor="text1"/>
          <w:sz w:val="22"/>
          <w:szCs w:val="22"/>
        </w:rPr>
        <w:t>с</w:t>
      </w:r>
      <w:proofErr w:type="gramEnd"/>
      <w:r w:rsidRPr="00E61763">
        <w:rPr>
          <w:sz w:val="22"/>
          <w:szCs w:val="22"/>
        </w:rPr>
        <w:t>.</w:t>
      </w:r>
    </w:p>
    <w:p w:rsidR="00B904B0" w:rsidRPr="00E61763" w:rsidRDefault="00B904B0" w:rsidP="00B904B0">
      <w:pPr>
        <w:pStyle w:val="a4"/>
        <w:numPr>
          <w:ilvl w:val="0"/>
          <w:numId w:val="5"/>
        </w:numPr>
        <w:tabs>
          <w:tab w:val="left" w:pos="1134"/>
        </w:tabs>
        <w:ind w:left="0" w:firstLine="709"/>
        <w:jc w:val="both"/>
      </w:pPr>
      <w:proofErr w:type="spellStart"/>
      <w:r w:rsidRPr="00E61763">
        <w:rPr>
          <w:sz w:val="22"/>
          <w:szCs w:val="22"/>
        </w:rPr>
        <w:t>Акжигитов</w:t>
      </w:r>
      <w:proofErr w:type="spellEnd"/>
      <w:r w:rsidRPr="00E61763">
        <w:rPr>
          <w:sz w:val="22"/>
          <w:szCs w:val="22"/>
        </w:rPr>
        <w:t xml:space="preserve">, В.В. Риски и перспективы управления инвестициями в сфере строительства в период </w:t>
      </w:r>
      <w:proofErr w:type="spellStart"/>
      <w:r w:rsidRPr="00E61763">
        <w:rPr>
          <w:sz w:val="22"/>
          <w:szCs w:val="22"/>
        </w:rPr>
        <w:t>санкционных</w:t>
      </w:r>
      <w:proofErr w:type="spellEnd"/>
      <w:r w:rsidRPr="00E61763">
        <w:rPr>
          <w:sz w:val="22"/>
          <w:szCs w:val="22"/>
        </w:rPr>
        <w:t xml:space="preserve"> ограничений // Финансовые рынки и банки. – №6. – 2023. – С. 234-238.</w:t>
      </w:r>
    </w:p>
    <w:p w:rsidR="00B904B0" w:rsidRPr="00E61763" w:rsidRDefault="00B904B0" w:rsidP="00B904B0">
      <w:pPr>
        <w:pStyle w:val="a4"/>
        <w:numPr>
          <w:ilvl w:val="0"/>
          <w:numId w:val="5"/>
        </w:numPr>
        <w:tabs>
          <w:tab w:val="left" w:pos="1134"/>
        </w:tabs>
        <w:ind w:left="0" w:firstLine="709"/>
        <w:jc w:val="both"/>
      </w:pPr>
      <w:r w:rsidRPr="00E61763">
        <w:rPr>
          <w:sz w:val="22"/>
          <w:szCs w:val="22"/>
        </w:rPr>
        <w:t xml:space="preserve">Морозова, Т. Г., Александрова, А. В. Механизмы реализации </w:t>
      </w:r>
      <w:proofErr w:type="spellStart"/>
      <w:r w:rsidRPr="00E61763">
        <w:rPr>
          <w:sz w:val="22"/>
          <w:szCs w:val="22"/>
        </w:rPr>
        <w:t>инвестиционно-инновационной</w:t>
      </w:r>
      <w:proofErr w:type="spellEnd"/>
      <w:r w:rsidRPr="00E61763">
        <w:rPr>
          <w:sz w:val="22"/>
          <w:szCs w:val="22"/>
        </w:rPr>
        <w:t xml:space="preserve"> стратегии в стабильно развивающихся регионах РФ // Региональная экономика. – 2010. – № 18 (153). – С. 19-24.</w:t>
      </w:r>
    </w:p>
    <w:p w:rsidR="00B904B0" w:rsidRPr="00E61763" w:rsidRDefault="00B904B0" w:rsidP="00B904B0">
      <w:pPr>
        <w:pStyle w:val="a4"/>
        <w:numPr>
          <w:ilvl w:val="0"/>
          <w:numId w:val="5"/>
        </w:numPr>
        <w:tabs>
          <w:tab w:val="left" w:pos="1134"/>
        </w:tabs>
        <w:ind w:left="0" w:firstLine="709"/>
        <w:jc w:val="both"/>
      </w:pPr>
      <w:r w:rsidRPr="00E61763">
        <w:rPr>
          <w:sz w:val="22"/>
          <w:szCs w:val="22"/>
        </w:rPr>
        <w:lastRenderedPageBreak/>
        <w:t>Регионы России. Основные характеристики субъектов Российской Федерации. 2023: Стат. сб. / Росстат. – М., 2023. – 853 с.</w:t>
      </w:r>
    </w:p>
    <w:p w:rsidR="00B904B0" w:rsidRPr="00E61763" w:rsidRDefault="00B904B0" w:rsidP="00B904B0">
      <w:pPr>
        <w:pStyle w:val="a4"/>
        <w:numPr>
          <w:ilvl w:val="0"/>
          <w:numId w:val="5"/>
        </w:numPr>
        <w:tabs>
          <w:tab w:val="left" w:pos="1134"/>
        </w:tabs>
        <w:ind w:left="0" w:firstLine="709"/>
        <w:jc w:val="both"/>
      </w:pPr>
      <w:r w:rsidRPr="00E61763">
        <w:rPr>
          <w:sz w:val="22"/>
          <w:szCs w:val="22"/>
        </w:rPr>
        <w:t xml:space="preserve">Модернизация России: социально-гуманитарные измерения / под ред. Н.Я.Петракова. М., СПб.: Нестор-История. – 2011. – 448 </w:t>
      </w:r>
      <w:proofErr w:type="gramStart"/>
      <w:r w:rsidRPr="00E61763">
        <w:rPr>
          <w:sz w:val="22"/>
          <w:szCs w:val="22"/>
        </w:rPr>
        <w:t>с</w:t>
      </w:r>
      <w:proofErr w:type="gramEnd"/>
      <w:r w:rsidRPr="00E61763">
        <w:rPr>
          <w:sz w:val="22"/>
          <w:szCs w:val="22"/>
        </w:rPr>
        <w:t>.</w:t>
      </w:r>
    </w:p>
    <w:p w:rsidR="00D9702C" w:rsidRDefault="00D9702C"/>
    <w:sectPr w:rsidR="00D9702C" w:rsidSect="009B51C2">
      <w:headerReference w:type="even" r:id="rId9"/>
      <w:headerReference w:type="default" r:id="rId10"/>
      <w:footerReference w:type="even" r:id="rId11"/>
      <w:footerReference w:type="default" r:id="rId12"/>
      <w:headerReference w:type="first" r:id="rId13"/>
      <w:footerReference w:type="first" r:id="rId14"/>
      <w:pgSz w:w="9979" w:h="14175"/>
      <w:pgMar w:top="1134" w:right="851"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A10C9" w:rsidRDefault="002A10C9" w:rsidP="00B904B0">
      <w:r>
        <w:separator/>
      </w:r>
    </w:p>
  </w:endnote>
  <w:endnote w:type="continuationSeparator" w:id="0">
    <w:p w:rsidR="002A10C9" w:rsidRDefault="002A10C9" w:rsidP="00B904B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CC"/>
    <w:family w:val="swiss"/>
    <w:pitch w:val="variable"/>
    <w:sig w:usb0="00000287" w:usb1="00000800" w:usb2="00000000" w:usb3="00000000" w:csb0="000000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444B14">
    <w:pPr>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separate"/>
    </w:r>
    <w:r w:rsidR="007E46B5">
      <w:rPr>
        <w:noProof/>
        <w:color w:val="000000"/>
        <w:sz w:val="20"/>
        <w:szCs w:val="20"/>
      </w:rPr>
      <w:t>22</w:t>
    </w:r>
    <w:r>
      <w:rPr>
        <w:color w:val="000000"/>
        <w:sz w:val="20"/>
        <w:szCs w:val="20"/>
      </w:rP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444B14">
    <w:pPr>
      <w:pBdr>
        <w:top w:val="single" w:sz="4" w:space="1" w:color="000000"/>
        <w:left w:val="nil"/>
        <w:bottom w:val="nil"/>
        <w:right w:val="nil"/>
        <w:between w:val="nil"/>
      </w:pBdr>
      <w:tabs>
        <w:tab w:val="center" w:pos="4844"/>
        <w:tab w:val="right" w:pos="9689"/>
      </w:tabs>
      <w:jc w:val="right"/>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separate"/>
    </w:r>
    <w:r w:rsidR="00FF04E2">
      <w:rPr>
        <w:noProof/>
        <w:color w:val="000000"/>
        <w:sz w:val="20"/>
        <w:szCs w:val="20"/>
      </w:rPr>
      <w:t>1</w:t>
    </w:r>
    <w:r>
      <w:rPr>
        <w:color w:val="000000"/>
        <w:sz w:val="20"/>
        <w:szCs w:val="20"/>
      </w:rPr>
      <w:fldChar w:fldCharType="end"/>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444B14">
    <w:pPr>
      <w:pBdr>
        <w:top w:val="single" w:sz="4" w:space="1" w:color="000000"/>
        <w:left w:val="nil"/>
        <w:bottom w:val="nil"/>
        <w:right w:val="nil"/>
        <w:between w:val="nil"/>
      </w:pBdr>
      <w:tabs>
        <w:tab w:val="center" w:pos="4844"/>
        <w:tab w:val="right" w:pos="9689"/>
      </w:tabs>
      <w:rPr>
        <w:color w:val="000000"/>
        <w:sz w:val="20"/>
        <w:szCs w:val="20"/>
      </w:rPr>
    </w:pPr>
    <w:r>
      <w:rPr>
        <w:color w:val="000000"/>
        <w:sz w:val="20"/>
        <w:szCs w:val="20"/>
      </w:rPr>
      <w:fldChar w:fldCharType="begin"/>
    </w:r>
    <w:r w:rsidR="007E46B5">
      <w:rPr>
        <w:color w:val="000000"/>
        <w:sz w:val="20"/>
        <w:szCs w:val="20"/>
      </w:rPr>
      <w:instrText>PAGE</w:instrText>
    </w:r>
    <w:r>
      <w:rPr>
        <w:color w:val="000000"/>
        <w:sz w:val="20"/>
        <w:szCs w:val="20"/>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A10C9" w:rsidRDefault="002A10C9" w:rsidP="00B904B0">
      <w:r>
        <w:separator/>
      </w:r>
    </w:p>
  </w:footnote>
  <w:footnote w:type="continuationSeparator" w:id="0">
    <w:p w:rsidR="002A10C9" w:rsidRDefault="002A10C9" w:rsidP="00B904B0">
      <w:r>
        <w:continuationSeparator/>
      </w:r>
    </w:p>
  </w:footnote>
  <w:footnote w:id="1">
    <w:p w:rsidR="007E46B5" w:rsidRPr="007E46B5" w:rsidRDefault="007E46B5" w:rsidP="007E46B5">
      <w:pPr>
        <w:suppressAutoHyphens/>
        <w:jc w:val="both"/>
        <w:rPr>
          <w:color w:val="000000" w:themeColor="text1"/>
          <w:sz w:val="20"/>
          <w:szCs w:val="20"/>
          <w:lang w:val="en-US"/>
        </w:rPr>
      </w:pPr>
      <w:r>
        <w:rPr>
          <w:rStyle w:val="a3"/>
        </w:rPr>
        <w:footnoteRef/>
      </w:r>
      <w:r>
        <w:t xml:space="preserve"> </w:t>
      </w:r>
      <w:proofErr w:type="spellStart"/>
      <w:r w:rsidRPr="007E46B5">
        <w:rPr>
          <w:sz w:val="20"/>
          <w:szCs w:val="20"/>
        </w:rPr>
        <w:t>Колечков</w:t>
      </w:r>
      <w:proofErr w:type="spellEnd"/>
      <w:r w:rsidRPr="007E46B5">
        <w:rPr>
          <w:sz w:val="20"/>
          <w:szCs w:val="20"/>
        </w:rPr>
        <w:t xml:space="preserve"> Дмитрий Васильевич, кандидат экономических наук, старший научный сотрудник, </w:t>
      </w:r>
      <w:r w:rsidRPr="007E46B5">
        <w:rPr>
          <w:color w:val="000000" w:themeColor="text1"/>
          <w:sz w:val="20"/>
          <w:szCs w:val="20"/>
        </w:rPr>
        <w:t xml:space="preserve">Институт социально-экономических и энергетических проблем Севера ФИЦ Коми НЦ </w:t>
      </w:r>
      <w:proofErr w:type="spellStart"/>
      <w:r w:rsidRPr="007E46B5">
        <w:rPr>
          <w:color w:val="000000" w:themeColor="text1"/>
          <w:sz w:val="20"/>
          <w:szCs w:val="20"/>
        </w:rPr>
        <w:t>УрО</w:t>
      </w:r>
      <w:proofErr w:type="spellEnd"/>
      <w:r w:rsidRPr="007E46B5">
        <w:rPr>
          <w:color w:val="000000" w:themeColor="text1"/>
          <w:sz w:val="20"/>
          <w:szCs w:val="20"/>
        </w:rPr>
        <w:t xml:space="preserve"> РАН (167000, Россия, </w:t>
      </w:r>
      <w:proofErr w:type="gramStart"/>
      <w:r w:rsidRPr="007E46B5">
        <w:rPr>
          <w:color w:val="000000" w:themeColor="text1"/>
          <w:sz w:val="20"/>
          <w:szCs w:val="20"/>
        </w:rPr>
        <w:t>г</w:t>
      </w:r>
      <w:proofErr w:type="gramEnd"/>
      <w:r w:rsidRPr="007E46B5">
        <w:rPr>
          <w:color w:val="000000" w:themeColor="text1"/>
          <w:sz w:val="20"/>
          <w:szCs w:val="20"/>
        </w:rPr>
        <w:t xml:space="preserve">. Сыктывкар, ул. Коммунистическая, 26, </w:t>
      </w:r>
      <w:proofErr w:type="spellStart"/>
      <w:r w:rsidRPr="007E46B5">
        <w:rPr>
          <w:sz w:val="20"/>
          <w:szCs w:val="20"/>
        </w:rPr>
        <w:t>E-mail</w:t>
      </w:r>
      <w:proofErr w:type="spellEnd"/>
      <w:r w:rsidRPr="007E46B5">
        <w:rPr>
          <w:sz w:val="20"/>
          <w:szCs w:val="20"/>
        </w:rPr>
        <w:t>:</w:t>
      </w:r>
      <w:r w:rsidRPr="007E46B5">
        <w:rPr>
          <w:sz w:val="20"/>
          <w:szCs w:val="20"/>
          <w:lang w:val="en-US"/>
        </w:rPr>
        <w:t xml:space="preserve"> kdb1970@mail.ru)</w:t>
      </w:r>
    </w:p>
    <w:p w:rsidR="007E46B5" w:rsidRDefault="007E46B5">
      <w:pPr>
        <w:pStyle w:val="a8"/>
      </w:pP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444B14">
    <w:pPr>
      <w:pBdr>
        <w:top w:val="nil"/>
        <w:left w:val="nil"/>
        <w:bottom w:val="single" w:sz="6" w:space="1" w:color="000000"/>
        <w:right w:val="nil"/>
        <w:between w:val="nil"/>
      </w:pBdr>
      <w:tabs>
        <w:tab w:val="center" w:pos="4844"/>
        <w:tab w:val="right" w:pos="9689"/>
      </w:tabs>
      <w:rPr>
        <w:rFonts w:ascii="Arial Narrow" w:eastAsia="Arial Narrow" w:hAnsi="Arial Narrow" w:cs="Arial Narrow"/>
        <w:color w:val="000000"/>
        <w:sz w:val="20"/>
        <w:szCs w:val="20"/>
      </w:rPr>
    </w:pPr>
    <w:sdt>
      <w:sdtPr>
        <w:tag w:val="goog_rdk_25"/>
        <w:id w:val="1172683368"/>
      </w:sdtPr>
      <w:sdtContent>
        <w:r w:rsidR="007E46B5">
          <w:rPr>
            <w:rFonts w:ascii="Arial" w:eastAsia="Arial" w:hAnsi="Arial" w:cs="Arial"/>
            <w:color w:val="000000"/>
            <w:sz w:val="20"/>
            <w:szCs w:val="20"/>
          </w:rPr>
          <w:t>Вестник ПНИПУ. Социально-экономические науки. 2022. № 2</w:t>
        </w:r>
      </w:sdtContent>
    </w:sdt>
  </w:p>
  <w:p w:rsidR="007E46B5" w:rsidRDefault="007E46B5">
    <w:pPr>
      <w:pBdr>
        <w:top w:val="nil"/>
        <w:left w:val="nil"/>
        <w:bottom w:val="nil"/>
        <w:right w:val="nil"/>
        <w:between w:val="nil"/>
      </w:pBdr>
      <w:tabs>
        <w:tab w:val="center" w:pos="4844"/>
        <w:tab w:val="right" w:pos="9689"/>
      </w:tabs>
      <w:rPr>
        <w:rFonts w:ascii="Calibri" w:eastAsia="Calibri" w:hAnsi="Calibri" w:cs="Calibri"/>
        <w:color w:val="000000"/>
        <w:sz w:val="20"/>
        <w:szCs w:val="20"/>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7E46B5">
    <w:pPr>
      <w:pBdr>
        <w:top w:val="nil"/>
        <w:left w:val="nil"/>
        <w:bottom w:val="nil"/>
        <w:right w:val="nil"/>
        <w:between w:val="nil"/>
      </w:pBdr>
      <w:tabs>
        <w:tab w:val="center" w:pos="4844"/>
        <w:tab w:val="right" w:pos="9689"/>
      </w:tabs>
      <w:rPr>
        <w:rFonts w:ascii="Arial Narrow" w:eastAsia="Arial Narrow" w:hAnsi="Arial Narrow" w:cs="Arial Narrow"/>
        <w:color w:val="000000"/>
        <w:sz w:val="20"/>
        <w:szCs w:val="20"/>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E46B5" w:rsidRDefault="00444B14">
    <w:pPr>
      <w:pBdr>
        <w:top w:val="nil"/>
        <w:left w:val="nil"/>
        <w:bottom w:val="single" w:sz="6" w:space="1" w:color="000000"/>
        <w:right w:val="nil"/>
        <w:between w:val="nil"/>
      </w:pBdr>
      <w:tabs>
        <w:tab w:val="center" w:pos="4844"/>
        <w:tab w:val="right" w:pos="9689"/>
      </w:tabs>
      <w:rPr>
        <w:rFonts w:ascii="Arial Narrow" w:eastAsia="Arial Narrow" w:hAnsi="Arial Narrow" w:cs="Arial Narrow"/>
        <w:color w:val="000000"/>
        <w:sz w:val="20"/>
        <w:szCs w:val="20"/>
      </w:rPr>
    </w:pPr>
    <w:sdt>
      <w:sdtPr>
        <w:tag w:val="goog_rdk_24"/>
        <w:id w:val="2078094261"/>
      </w:sdtPr>
      <w:sdtContent>
        <w:r w:rsidR="007E46B5">
          <w:rPr>
            <w:rFonts w:ascii="Arial" w:eastAsia="Arial" w:hAnsi="Arial" w:cs="Arial"/>
            <w:color w:val="000000"/>
            <w:sz w:val="20"/>
            <w:szCs w:val="20"/>
          </w:rPr>
          <w:t>Вестник ПНИПУ. Социально-экономические науки. 2021. № 4</w:t>
        </w:r>
      </w:sdtContent>
    </w:sdt>
  </w:p>
  <w:p w:rsidR="007E46B5" w:rsidRDefault="007E46B5">
    <w:pPr>
      <w:pBdr>
        <w:top w:val="nil"/>
        <w:left w:val="nil"/>
        <w:bottom w:val="nil"/>
        <w:right w:val="nil"/>
        <w:between w:val="nil"/>
      </w:pBdr>
      <w:tabs>
        <w:tab w:val="center" w:pos="4844"/>
        <w:tab w:val="right" w:pos="9689"/>
      </w:tabs>
      <w:rPr>
        <w:rFonts w:ascii="Calibri" w:eastAsia="Calibri" w:hAnsi="Calibri" w:cs="Calibri"/>
        <w:color w:val="000000"/>
        <w:sz w:val="20"/>
        <w:szCs w:val="20"/>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2A85E42"/>
    <w:multiLevelType w:val="hybridMultilevel"/>
    <w:tmpl w:val="8E58676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2A984318"/>
    <w:multiLevelType w:val="hybridMultilevel"/>
    <w:tmpl w:val="7BA047B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nsid w:val="3B1F48B1"/>
    <w:multiLevelType w:val="hybridMultilevel"/>
    <w:tmpl w:val="FB64D1E8"/>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3">
    <w:nsid w:val="445415CA"/>
    <w:multiLevelType w:val="hybridMultilevel"/>
    <w:tmpl w:val="375C2912"/>
    <w:lvl w:ilvl="0" w:tplc="66FC3FCE">
      <w:start w:val="1"/>
      <w:numFmt w:val="decimal"/>
      <w:lvlText w:val="%1."/>
      <w:lvlJc w:val="left"/>
      <w:pPr>
        <w:ind w:left="1410" w:hanging="700"/>
      </w:pPr>
      <w:rPr>
        <w:rFonts w:hint="default"/>
      </w:rPr>
    </w:lvl>
    <w:lvl w:ilvl="1" w:tplc="04190019" w:tentative="1">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tentative="1">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4">
    <w:nsid w:val="63132780"/>
    <w:multiLevelType w:val="hybridMultilevel"/>
    <w:tmpl w:val="4FE0A50E"/>
    <w:lvl w:ilvl="0" w:tplc="745EA14E">
      <w:start w:val="1"/>
      <w:numFmt w:val="decimal"/>
      <w:lvlText w:val="%1."/>
      <w:lvlJc w:val="left"/>
      <w:pPr>
        <w:ind w:left="1211" w:hanging="360"/>
      </w:pPr>
      <w:rPr>
        <w:sz w:val="22"/>
        <w:szCs w:val="22"/>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2"/>
  </w:num>
  <w:num w:numId="4">
    <w:abstractNumId w:val="1"/>
  </w:num>
  <w:num w:numId="5">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proofState w:spelling="clean" w:grammar="clean"/>
  <w:defaultTabStop w:val="708"/>
  <w:characterSpacingControl w:val="doNotCompress"/>
  <w:footnotePr>
    <w:footnote w:id="-1"/>
    <w:footnote w:id="0"/>
  </w:footnotePr>
  <w:endnotePr>
    <w:endnote w:id="-1"/>
    <w:endnote w:id="0"/>
  </w:endnotePr>
  <w:compat/>
  <w:rsids>
    <w:rsidRoot w:val="00B904B0"/>
    <w:rsid w:val="00216396"/>
    <w:rsid w:val="00233CE2"/>
    <w:rsid w:val="002A10C9"/>
    <w:rsid w:val="00444B14"/>
    <w:rsid w:val="004604A8"/>
    <w:rsid w:val="005111F7"/>
    <w:rsid w:val="006164FC"/>
    <w:rsid w:val="007A184A"/>
    <w:rsid w:val="007E46B5"/>
    <w:rsid w:val="00914248"/>
    <w:rsid w:val="009B51C2"/>
    <w:rsid w:val="00B904B0"/>
    <w:rsid w:val="00D80C3D"/>
    <w:rsid w:val="00D9702C"/>
    <w:rsid w:val="00E61763"/>
    <w:rsid w:val="00ED0AFE"/>
    <w:rsid w:val="00F33C45"/>
    <w:rsid w:val="00FB64DB"/>
    <w:rsid w:val="00FF04E2"/>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904B0"/>
    <w:pPr>
      <w:spacing w:after="0" w:line="240" w:lineRule="auto"/>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aliases w:val="ftref,Footnote Reference Number,Знак сноски-FN,Ref,de nota al pie,Ciae niinee-FN,Знак сноски 1,Referencia nota al pie,16 Point,Superscript 6 Point,Footnote Reference_LVL6,Footnote Reference_LVL61,Footnote Reference_LVL62,Ciae niinee 1,SUPERS"/>
    <w:uiPriority w:val="99"/>
    <w:unhideWhenUsed/>
    <w:rsid w:val="00B904B0"/>
    <w:rPr>
      <w:vertAlign w:val="superscript"/>
    </w:rPr>
  </w:style>
  <w:style w:type="paragraph" w:customStyle="1" w:styleId="2">
    <w:name w:val="Стиль2"/>
    <w:basedOn w:val="a"/>
    <w:qFormat/>
    <w:rsid w:val="00B904B0"/>
    <w:pPr>
      <w:spacing w:before="400" w:after="360" w:line="264" w:lineRule="auto"/>
      <w:jc w:val="center"/>
    </w:pPr>
    <w:rPr>
      <w:rFonts w:ascii="Arial" w:hAnsi="Arial" w:cs="Arial"/>
      <w:b/>
      <w:sz w:val="22"/>
      <w:szCs w:val="22"/>
    </w:rPr>
  </w:style>
  <w:style w:type="paragraph" w:customStyle="1" w:styleId="4">
    <w:name w:val="Стиль4"/>
    <w:basedOn w:val="a"/>
    <w:qFormat/>
    <w:rsid w:val="00B904B0"/>
    <w:pPr>
      <w:spacing w:after="240" w:line="360" w:lineRule="auto"/>
      <w:jc w:val="center"/>
    </w:pPr>
    <w:rPr>
      <w:rFonts w:ascii="Arial" w:hAnsi="Arial" w:cs="Arial"/>
      <w:b/>
      <w:sz w:val="22"/>
      <w:szCs w:val="22"/>
    </w:rPr>
  </w:style>
  <w:style w:type="paragraph" w:customStyle="1" w:styleId="8">
    <w:name w:val="Стиль8"/>
    <w:basedOn w:val="a"/>
    <w:qFormat/>
    <w:rsid w:val="00B904B0"/>
    <w:pPr>
      <w:ind w:firstLine="454"/>
      <w:jc w:val="both"/>
    </w:pPr>
    <w:rPr>
      <w:rFonts w:ascii="Arial" w:hAnsi="Arial" w:cs="Arial"/>
      <w:sz w:val="16"/>
      <w:szCs w:val="16"/>
    </w:rPr>
  </w:style>
  <w:style w:type="paragraph" w:customStyle="1" w:styleId="6">
    <w:name w:val="Стиль6"/>
    <w:basedOn w:val="a"/>
    <w:qFormat/>
    <w:rsid w:val="00B904B0"/>
    <w:pPr>
      <w:tabs>
        <w:tab w:val="left" w:pos="1134"/>
      </w:tabs>
      <w:spacing w:before="360" w:after="180" w:line="254" w:lineRule="auto"/>
      <w:jc w:val="both"/>
    </w:pPr>
    <w:rPr>
      <w:b/>
      <w:sz w:val="26"/>
      <w:szCs w:val="26"/>
    </w:rPr>
  </w:style>
  <w:style w:type="paragraph" w:styleId="a4">
    <w:name w:val="List Paragraph"/>
    <w:basedOn w:val="a"/>
    <w:uiPriority w:val="34"/>
    <w:qFormat/>
    <w:rsid w:val="00B904B0"/>
    <w:pPr>
      <w:ind w:left="720"/>
      <w:contextualSpacing/>
    </w:pPr>
  </w:style>
  <w:style w:type="character" w:styleId="a5">
    <w:name w:val="Hyperlink"/>
    <w:rsid w:val="00B904B0"/>
    <w:rPr>
      <w:color w:val="0000FF"/>
      <w:u w:val="single"/>
    </w:rPr>
  </w:style>
  <w:style w:type="paragraph" w:customStyle="1" w:styleId="1">
    <w:name w:val="Абзац списка1"/>
    <w:aliases w:val="ПАРАГРАФ,выделение в тексте"/>
    <w:basedOn w:val="a"/>
    <w:link w:val="a6"/>
    <w:qFormat/>
    <w:rsid w:val="00B904B0"/>
    <w:pPr>
      <w:spacing w:after="200" w:line="276" w:lineRule="auto"/>
      <w:ind w:left="720"/>
      <w:contextualSpacing/>
    </w:pPr>
    <w:rPr>
      <w:rFonts w:ascii="Calibri" w:eastAsia="Calibri" w:hAnsi="Calibri"/>
      <w:sz w:val="22"/>
      <w:szCs w:val="22"/>
      <w:lang w:eastAsia="en-US"/>
    </w:rPr>
  </w:style>
  <w:style w:type="character" w:customStyle="1" w:styleId="a6">
    <w:name w:val="Абзац списка Знак"/>
    <w:aliases w:val="Bullet_MR Знак,Bullet_IRAO Знак,Абзац списка11 Знак,Список_маркированный Знак,Список_маркированный1 Знак"/>
    <w:link w:val="1"/>
    <w:rsid w:val="00B904B0"/>
    <w:rPr>
      <w:rFonts w:ascii="Calibri" w:eastAsia="Calibri" w:hAnsi="Calibri" w:cs="Times New Roman"/>
    </w:rPr>
  </w:style>
  <w:style w:type="paragraph" w:customStyle="1" w:styleId="Default">
    <w:name w:val="Default"/>
    <w:rsid w:val="00B904B0"/>
    <w:pPr>
      <w:autoSpaceDE w:val="0"/>
      <w:autoSpaceDN w:val="0"/>
      <w:adjustRightInd w:val="0"/>
      <w:spacing w:after="0" w:line="240" w:lineRule="auto"/>
    </w:pPr>
    <w:rPr>
      <w:rFonts w:ascii="Times New Roman" w:eastAsia="Calibri" w:hAnsi="Times New Roman" w:cs="Times New Roman"/>
      <w:color w:val="000000"/>
      <w:sz w:val="24"/>
      <w:szCs w:val="24"/>
      <w:lang w:eastAsia="ru-RU"/>
    </w:rPr>
  </w:style>
  <w:style w:type="table" w:styleId="a7">
    <w:name w:val="Table Grid"/>
    <w:basedOn w:val="a1"/>
    <w:uiPriority w:val="39"/>
    <w:rsid w:val="00B904B0"/>
    <w:pPr>
      <w:spacing w:after="0" w:line="240" w:lineRule="auto"/>
      <w:ind w:left="709" w:hanging="709"/>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8">
    <w:name w:val="footnote text"/>
    <w:aliases w:val="Текст сноски Знак Знак,Footnote,Fußnote,FSR footnote,lábléc,Footnote Text Char1 Char,Footnote Text Char Char Char,Footnote Text Char2 Char Char Char,Footnote Text Char1 Char Char Char Char,Footnote Text Char Char Char Char Char Char,Plonk"/>
    <w:basedOn w:val="a"/>
    <w:link w:val="a9"/>
    <w:uiPriority w:val="99"/>
    <w:unhideWhenUsed/>
    <w:rsid w:val="00B904B0"/>
    <w:rPr>
      <w:sz w:val="20"/>
      <w:szCs w:val="20"/>
    </w:rPr>
  </w:style>
  <w:style w:type="character" w:customStyle="1" w:styleId="a9">
    <w:name w:val="Текст сноски Знак"/>
    <w:aliases w:val="Текст сноски Знак Знак Знак,Footnote Знак,Fußnote Знак,FSR footnote Знак,lábléc Знак,Footnote Text Char1 Char Знак,Footnote Text Char Char Char Знак,Footnote Text Char2 Char Char Char Знак,Footnote Text Char1 Char Char Char Char Знак"/>
    <w:basedOn w:val="a0"/>
    <w:link w:val="a8"/>
    <w:uiPriority w:val="99"/>
    <w:rsid w:val="00B904B0"/>
    <w:rPr>
      <w:rFonts w:ascii="Times New Roman" w:eastAsia="Times New Roman" w:hAnsi="Times New Roman" w:cs="Times New Roman"/>
      <w:sz w:val="20"/>
      <w:szCs w:val="20"/>
      <w:lang w:eastAsia="ru-RU"/>
    </w:rPr>
  </w:style>
  <w:style w:type="paragraph" w:customStyle="1" w:styleId="10">
    <w:name w:val="1.Текст"/>
    <w:link w:val="11"/>
    <w:qFormat/>
    <w:rsid w:val="00B904B0"/>
    <w:pPr>
      <w:spacing w:before="60" w:after="0" w:line="240" w:lineRule="auto"/>
      <w:ind w:firstLine="284"/>
      <w:jc w:val="both"/>
    </w:pPr>
    <w:rPr>
      <w:rFonts w:ascii="Arial" w:eastAsia="Times New Roman" w:hAnsi="Arial" w:cs="Times New Roman"/>
      <w:sz w:val="18"/>
      <w:szCs w:val="18"/>
      <w:lang w:eastAsia="ru-RU"/>
    </w:rPr>
  </w:style>
  <w:style w:type="character" w:customStyle="1" w:styleId="11">
    <w:name w:val="1.Текст Знак"/>
    <w:link w:val="10"/>
    <w:locked/>
    <w:rsid w:val="00B904B0"/>
    <w:rPr>
      <w:rFonts w:ascii="Arial" w:eastAsia="Times New Roman" w:hAnsi="Arial" w:cs="Times New Roman"/>
      <w:sz w:val="18"/>
      <w:szCs w:val="18"/>
      <w:lang w:eastAsia="ru-RU"/>
    </w:rPr>
  </w:style>
  <w:style w:type="paragraph" w:styleId="aa">
    <w:name w:val="Balloon Text"/>
    <w:basedOn w:val="a"/>
    <w:link w:val="ab"/>
    <w:uiPriority w:val="99"/>
    <w:semiHidden/>
    <w:unhideWhenUsed/>
    <w:rsid w:val="00B904B0"/>
    <w:rPr>
      <w:rFonts w:ascii="Tahoma" w:hAnsi="Tahoma" w:cs="Tahoma"/>
      <w:sz w:val="16"/>
      <w:szCs w:val="16"/>
    </w:rPr>
  </w:style>
  <w:style w:type="character" w:customStyle="1" w:styleId="ab">
    <w:name w:val="Текст выноски Знак"/>
    <w:basedOn w:val="a0"/>
    <w:link w:val="aa"/>
    <w:uiPriority w:val="99"/>
    <w:semiHidden/>
    <w:rsid w:val="00B904B0"/>
    <w:rPr>
      <w:rFonts w:ascii="Tahoma" w:eastAsia="Times New Roman" w:hAnsi="Tahoma" w:cs="Tahoma"/>
      <w:sz w:val="16"/>
      <w:szCs w:val="16"/>
      <w:lang w:eastAsia="ru-RU"/>
    </w:rPr>
  </w:style>
  <w:style w:type="character" w:customStyle="1" w:styleId="ac">
    <w:name w:val="Основной текст Знак"/>
    <w:basedOn w:val="a0"/>
    <w:link w:val="ad"/>
    <w:semiHidden/>
    <w:rsid w:val="00B904B0"/>
  </w:style>
  <w:style w:type="paragraph" w:styleId="ad">
    <w:name w:val="Body Text"/>
    <w:basedOn w:val="a"/>
    <w:link w:val="ac"/>
    <w:semiHidden/>
    <w:unhideWhenUsed/>
    <w:rsid w:val="00B904B0"/>
    <w:pPr>
      <w:spacing w:after="120" w:line="276" w:lineRule="auto"/>
    </w:pPr>
    <w:rPr>
      <w:rFonts w:asciiTheme="minorHAnsi" w:eastAsiaTheme="minorHAnsi" w:hAnsiTheme="minorHAnsi" w:cstheme="minorBidi"/>
      <w:sz w:val="22"/>
      <w:szCs w:val="22"/>
      <w:lang w:eastAsia="en-US"/>
    </w:rPr>
  </w:style>
  <w:style w:type="paragraph" w:customStyle="1" w:styleId="align-center">
    <w:name w:val="align-center"/>
    <w:basedOn w:val="a"/>
    <w:rsid w:val="00B904B0"/>
    <w:pPr>
      <w:spacing w:before="100" w:beforeAutospacing="1" w:after="100" w:afterAutospacing="1"/>
    </w:pPr>
    <w:rPr>
      <w:sz w:val="24"/>
      <w:szCs w:val="24"/>
    </w:rPr>
  </w:style>
  <w:style w:type="character" w:customStyle="1" w:styleId="rynqvb">
    <w:name w:val="rynqvb"/>
    <w:basedOn w:val="a0"/>
    <w:rsid w:val="00B904B0"/>
  </w:style>
  <w:style w:type="character" w:customStyle="1" w:styleId="hwtze">
    <w:name w:val="hwtze"/>
    <w:basedOn w:val="a0"/>
    <w:rsid w:val="00B904B0"/>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plotArea>
      <c:layout/>
      <c:barChart>
        <c:barDir val="col"/>
        <c:grouping val="clustered"/>
        <c:ser>
          <c:idx val="0"/>
          <c:order val="0"/>
          <c:tx>
            <c:strRef>
              <c:f>Лист1!$B$1</c:f>
              <c:strCache>
                <c:ptCount val="1"/>
                <c:pt idx="0">
                  <c:v>2017</c:v>
                </c:pt>
              </c:strCache>
            </c:strRef>
          </c:tx>
          <c:cat>
            <c:strRef>
              <c:f>Лист1!$A$2:$A$15</c:f>
              <c:strCache>
                <c:ptCount val="14"/>
                <c:pt idx="0">
                  <c:v>Российская Федерация</c:v>
                </c:pt>
                <c:pt idx="1">
                  <c:v>СЕВЕР</c:v>
                </c:pt>
                <c:pt idx="2">
                  <c:v>        Республика Карелия</c:v>
                </c:pt>
                <c:pt idx="3">
                  <c:v>        Республика Коми</c:v>
                </c:pt>
                <c:pt idx="4">
                  <c:v>        Архангельская область</c:v>
                </c:pt>
                <c:pt idx="5">
                  <c:v>            Ненецкий АО</c:v>
                </c:pt>
                <c:pt idx="6">
                  <c:v>        Мурманская область</c:v>
                </c:pt>
                <c:pt idx="7">
                  <c:v>            Ханты-Мансийский АО</c:v>
                </c:pt>
                <c:pt idx="8">
                  <c:v>            Ямало-Ненецкий АО</c:v>
                </c:pt>
                <c:pt idx="9">
                  <c:v>        Республика Саха (Якутия)</c:v>
                </c:pt>
                <c:pt idx="10">
                  <c:v>        Камчатский край</c:v>
                </c:pt>
                <c:pt idx="11">
                  <c:v>        Магаданская область</c:v>
                </c:pt>
                <c:pt idx="12">
                  <c:v>        Сахалинская область</c:v>
                </c:pt>
                <c:pt idx="13">
                  <c:v>Чукотский АО</c:v>
                </c:pt>
              </c:strCache>
            </c:strRef>
          </c:cat>
          <c:val>
            <c:numRef>
              <c:f>Лист1!$B$2:$B$15</c:f>
              <c:numCache>
                <c:formatCode>#,##0.0</c:formatCode>
                <c:ptCount val="14"/>
                <c:pt idx="0">
                  <c:v>5.8099809767975445</c:v>
                </c:pt>
                <c:pt idx="1">
                  <c:v>8.4689732284902988</c:v>
                </c:pt>
                <c:pt idx="2">
                  <c:v>2.383721604756464</c:v>
                </c:pt>
                <c:pt idx="3">
                  <c:v>6.8163708249225294</c:v>
                </c:pt>
                <c:pt idx="4">
                  <c:v>4.7208007883763674</c:v>
                </c:pt>
                <c:pt idx="5">
                  <c:v>9.2532905336996727</c:v>
                </c:pt>
                <c:pt idx="6">
                  <c:v>6.1158014281797959</c:v>
                </c:pt>
                <c:pt idx="7">
                  <c:v>6.2002054465870486</c:v>
                </c:pt>
                <c:pt idx="8">
                  <c:v>15.463550265599011</c:v>
                </c:pt>
                <c:pt idx="9">
                  <c:v>10.406925740297249</c:v>
                </c:pt>
                <c:pt idx="10">
                  <c:v>4.2516422370303983</c:v>
                </c:pt>
                <c:pt idx="11">
                  <c:v>5.5421785527321168</c:v>
                </c:pt>
                <c:pt idx="12">
                  <c:v>3.59260317941721</c:v>
                </c:pt>
                <c:pt idx="13">
                  <c:v>5.0186412651841792</c:v>
                </c:pt>
              </c:numCache>
            </c:numRef>
          </c:val>
        </c:ser>
        <c:ser>
          <c:idx val="1"/>
          <c:order val="1"/>
          <c:tx>
            <c:strRef>
              <c:f>Лист1!$C$1</c:f>
              <c:strCache>
                <c:ptCount val="1"/>
                <c:pt idx="0">
                  <c:v>2022</c:v>
                </c:pt>
              </c:strCache>
            </c:strRef>
          </c:tx>
          <c:cat>
            <c:strRef>
              <c:f>Лист1!$A$2:$A$15</c:f>
              <c:strCache>
                <c:ptCount val="14"/>
                <c:pt idx="0">
                  <c:v>Российская Федерация</c:v>
                </c:pt>
                <c:pt idx="1">
                  <c:v>СЕВЕР</c:v>
                </c:pt>
                <c:pt idx="2">
                  <c:v>        Республика Карелия</c:v>
                </c:pt>
                <c:pt idx="3">
                  <c:v>        Республика Коми</c:v>
                </c:pt>
                <c:pt idx="4">
                  <c:v>        Архангельская область</c:v>
                </c:pt>
                <c:pt idx="5">
                  <c:v>            Ненецкий АО</c:v>
                </c:pt>
                <c:pt idx="6">
                  <c:v>        Мурманская область</c:v>
                </c:pt>
                <c:pt idx="7">
                  <c:v>            Ханты-Мансийский АО</c:v>
                </c:pt>
                <c:pt idx="8">
                  <c:v>            Ямало-Ненецкий АО</c:v>
                </c:pt>
                <c:pt idx="9">
                  <c:v>        Республика Саха (Якутия)</c:v>
                </c:pt>
                <c:pt idx="10">
                  <c:v>        Камчатский край</c:v>
                </c:pt>
                <c:pt idx="11">
                  <c:v>        Магаданская область</c:v>
                </c:pt>
                <c:pt idx="12">
                  <c:v>        Сахалинская область</c:v>
                </c:pt>
                <c:pt idx="13">
                  <c:v>Чукотский АО</c:v>
                </c:pt>
              </c:strCache>
            </c:strRef>
          </c:cat>
          <c:val>
            <c:numRef>
              <c:f>Лист1!$C$2:$C$15</c:f>
              <c:numCache>
                <c:formatCode>0.0</c:formatCode>
                <c:ptCount val="14"/>
                <c:pt idx="0">
                  <c:v>5.5</c:v>
                </c:pt>
                <c:pt idx="1">
                  <c:v>6.6</c:v>
                </c:pt>
                <c:pt idx="2">
                  <c:v>5.0999999999999996</c:v>
                </c:pt>
                <c:pt idx="3">
                  <c:v>3.7</c:v>
                </c:pt>
                <c:pt idx="4">
                  <c:v>3.4</c:v>
                </c:pt>
                <c:pt idx="5">
                  <c:v>3.8230414686682321</c:v>
                </c:pt>
                <c:pt idx="6">
                  <c:v>6.9</c:v>
                </c:pt>
                <c:pt idx="7">
                  <c:v>4.7</c:v>
                </c:pt>
                <c:pt idx="8">
                  <c:v>8</c:v>
                </c:pt>
                <c:pt idx="9">
                  <c:v>8.9</c:v>
                </c:pt>
                <c:pt idx="10">
                  <c:v>6.1</c:v>
                </c:pt>
                <c:pt idx="11">
                  <c:v>3.5</c:v>
                </c:pt>
                <c:pt idx="12">
                  <c:v>6.3</c:v>
                </c:pt>
                <c:pt idx="13">
                  <c:v>18.899999999999999</c:v>
                </c:pt>
              </c:numCache>
            </c:numRef>
          </c:val>
        </c:ser>
        <c:axId val="78355456"/>
        <c:axId val="78377728"/>
      </c:barChart>
      <c:catAx>
        <c:axId val="78355456"/>
        <c:scaling>
          <c:orientation val="minMax"/>
        </c:scaling>
        <c:axPos val="b"/>
        <c:tickLblPos val="nextTo"/>
        <c:txPr>
          <a:bodyPr/>
          <a:lstStyle/>
          <a:p>
            <a:pPr>
              <a:defRPr sz="900">
                <a:latin typeface="Times New Roman" pitchFamily="18" charset="0"/>
                <a:cs typeface="Times New Roman" pitchFamily="18" charset="0"/>
              </a:defRPr>
            </a:pPr>
            <a:endParaRPr lang="ru-RU"/>
          </a:p>
        </c:txPr>
        <c:crossAx val="78377728"/>
        <c:crosses val="autoZero"/>
        <c:auto val="1"/>
        <c:lblAlgn val="ctr"/>
        <c:lblOffset val="100"/>
      </c:catAx>
      <c:valAx>
        <c:axId val="78377728"/>
        <c:scaling>
          <c:orientation val="minMax"/>
          <c:max val="20"/>
        </c:scaling>
        <c:axPos val="l"/>
        <c:majorGridlines/>
        <c:numFmt formatCode="#,##0.0" sourceLinked="1"/>
        <c:tickLblPos val="nextTo"/>
        <c:txPr>
          <a:bodyPr/>
          <a:lstStyle/>
          <a:p>
            <a:pPr>
              <a:defRPr>
                <a:latin typeface="Times New Roman" pitchFamily="18" charset="0"/>
                <a:cs typeface="Times New Roman" pitchFamily="18" charset="0"/>
              </a:defRPr>
            </a:pPr>
            <a:endParaRPr lang="ru-RU"/>
          </a:p>
        </c:txPr>
        <c:crossAx val="78355456"/>
        <c:crosses val="autoZero"/>
        <c:crossBetween val="between"/>
      </c:valAx>
    </c:plotArea>
    <c:legend>
      <c:legendPos val="r"/>
      <c:txPr>
        <a:bodyPr/>
        <a:lstStyle/>
        <a:p>
          <a:pPr>
            <a:defRPr>
              <a:latin typeface="Times New Roman" pitchFamily="18" charset="0"/>
              <a:cs typeface="Times New Roman" pitchFamily="18" charset="0"/>
            </a:defRPr>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671B945-2A02-47C7-A7B9-88A33CC77B3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18</TotalTime>
  <Pages>7</Pages>
  <Words>1869</Words>
  <Characters>10655</Characters>
  <Application>Microsoft Office Word</Application>
  <DocSecurity>0</DocSecurity>
  <Lines>88</Lines>
  <Paragraphs>24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12500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KolechkovDV</dc:creator>
  <cp:lastModifiedBy>KolechkovDV</cp:lastModifiedBy>
  <cp:revision>5</cp:revision>
  <dcterms:created xsi:type="dcterms:W3CDTF">2024-05-07T08:29:00Z</dcterms:created>
  <dcterms:modified xsi:type="dcterms:W3CDTF">2024-05-07T08:47:00Z</dcterms:modified>
</cp:coreProperties>
</file>