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E2BEA8" w14:textId="308150CC" w:rsidR="00827E82" w:rsidRPr="001B5953" w:rsidRDefault="008204A5" w:rsidP="00353244">
      <w:pPr>
        <w:pStyle w:val="12"/>
        <w:spacing w:line="240" w:lineRule="auto"/>
        <w:ind w:firstLine="709"/>
        <w:rPr>
          <w:caps/>
          <w:szCs w:val="24"/>
        </w:rPr>
      </w:pPr>
      <w:bookmarkStart w:id="0" w:name="_Toc76714064"/>
      <w:r>
        <w:rPr>
          <w:szCs w:val="24"/>
          <w:lang w:eastAsia="ru-RU"/>
        </w:rPr>
        <w:t>Наумов И.В.</w:t>
      </w:r>
      <w:r w:rsidR="00827E82" w:rsidRPr="001B5953">
        <w:rPr>
          <w:caps/>
          <w:szCs w:val="24"/>
          <w:vertAlign w:val="superscript"/>
        </w:rPr>
        <w:footnoteReference w:customMarkFollows="1" w:id="1"/>
        <w:t>1</w:t>
      </w:r>
      <w:bookmarkEnd w:id="0"/>
    </w:p>
    <w:p w14:paraId="2AB8F7D1" w14:textId="77777777" w:rsidR="00827E82" w:rsidRPr="001B5953" w:rsidRDefault="00827E82" w:rsidP="00353244">
      <w:pPr>
        <w:spacing w:after="0" w:line="240" w:lineRule="auto"/>
        <w:ind w:firstLine="709"/>
        <w:jc w:val="right"/>
        <w:rPr>
          <w:rFonts w:ascii="Times New Roman" w:hAnsi="Times New Roman" w:cs="Times New Roman"/>
          <w:b/>
          <w:sz w:val="24"/>
          <w:szCs w:val="24"/>
        </w:rPr>
      </w:pPr>
    </w:p>
    <w:p w14:paraId="1507DD07" w14:textId="0F274FC7" w:rsidR="00827E82" w:rsidRPr="001B5953" w:rsidRDefault="008204A5" w:rsidP="00353244">
      <w:pPr>
        <w:pStyle w:val="123"/>
        <w:ind w:firstLine="709"/>
        <w:rPr>
          <w:rFonts w:eastAsia="Times New Roman" w:cs="Times New Roman"/>
          <w:szCs w:val="24"/>
        </w:rPr>
      </w:pPr>
      <w:r w:rsidRPr="008204A5">
        <w:rPr>
          <w:rFonts w:eastAsia="Times New Roman" w:cs="Times New Roman"/>
          <w:szCs w:val="24"/>
        </w:rPr>
        <w:t>Теоретико-методологический подход к оценке вероятности банкротства отраслей промышленности в территориальной системе</w:t>
      </w:r>
    </w:p>
    <w:p w14:paraId="69B70FAF" w14:textId="5B7E4496" w:rsidR="00827E82" w:rsidRPr="00590F6E" w:rsidRDefault="00827E82" w:rsidP="008204A5">
      <w:pPr>
        <w:spacing w:after="0" w:line="240" w:lineRule="auto"/>
        <w:jc w:val="both"/>
        <w:rPr>
          <w:rFonts w:ascii="Times New Roman" w:hAnsi="Times New Roman" w:cs="Times New Roman"/>
          <w:bCs/>
          <w:color w:val="231F20"/>
          <w:sz w:val="24"/>
          <w:szCs w:val="24"/>
        </w:rPr>
      </w:pPr>
    </w:p>
    <w:p w14:paraId="2EE1AAFB" w14:textId="0F307236" w:rsidR="00827E82" w:rsidRPr="001B5953" w:rsidRDefault="00827E82" w:rsidP="0035324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r w:rsidR="008204A5" w:rsidRPr="008204A5">
        <w:rPr>
          <w:rFonts w:ascii="Times New Roman" w:hAnsi="Times New Roman" w:cs="Times New Roman"/>
          <w:i/>
          <w:sz w:val="24"/>
          <w:szCs w:val="24"/>
        </w:rPr>
        <w:t>В ходе исследования разработан авторский теоретико-методологический подход к оценке вероятности банкротства отраслей промышленности, основанный на применении многомерного дискриминантного анализа финансовой состоятельности не отдельно взятых предприятий, а отраслей промышленности в целом.</w:t>
      </w:r>
    </w:p>
    <w:p w14:paraId="44AAF154" w14:textId="498E8D63" w:rsidR="001B5953" w:rsidRPr="001B5953" w:rsidRDefault="00827E82" w:rsidP="0035324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8204A5">
        <w:rPr>
          <w:rFonts w:ascii="Times New Roman" w:hAnsi="Times New Roman" w:cs="Times New Roman"/>
          <w:i/>
          <w:sz w:val="24"/>
          <w:szCs w:val="24"/>
        </w:rPr>
        <w:t>оценка вероятности банкротства, отрасли промышленности</w:t>
      </w:r>
    </w:p>
    <w:p w14:paraId="367332BF" w14:textId="7CD2EB59" w:rsidR="00827E82" w:rsidRPr="00EC60F3" w:rsidRDefault="00827E82" w:rsidP="00353244">
      <w:pPr>
        <w:spacing w:after="0" w:line="240" w:lineRule="auto"/>
        <w:ind w:firstLine="709"/>
        <w:jc w:val="both"/>
        <w:rPr>
          <w:rFonts w:ascii="Times New Roman" w:hAnsi="Times New Roman" w:cs="Times New Roman"/>
          <w:sz w:val="24"/>
          <w:szCs w:val="24"/>
        </w:rPr>
      </w:pPr>
    </w:p>
    <w:p w14:paraId="2D3D7998" w14:textId="5B2FD038" w:rsidR="00ED08BE" w:rsidRDefault="00ED08BE" w:rsidP="00ED08BE">
      <w:pPr>
        <w:spacing w:after="0" w:line="240" w:lineRule="auto"/>
        <w:ind w:firstLine="709"/>
        <w:jc w:val="both"/>
        <w:rPr>
          <w:rFonts w:ascii="Times New Roman" w:hAnsi="Times New Roman" w:cs="Times New Roman"/>
          <w:sz w:val="24"/>
          <w:szCs w:val="24"/>
        </w:rPr>
      </w:pPr>
      <w:r w:rsidRPr="00ED08BE">
        <w:rPr>
          <w:rFonts w:ascii="Times New Roman" w:hAnsi="Times New Roman" w:cs="Times New Roman"/>
          <w:sz w:val="24"/>
          <w:szCs w:val="24"/>
        </w:rPr>
        <w:t>В условиях нарастания санкционного давления на российскую экономику, ограниченности импорта высокотехнологичного оборудования, возрастания цен на сырье и материалы, использующиеся в производстве, значительного сокращения кадрового потенциала предприятий, роста волатильности на финансовых рынках и сложности привлечения инвестиций и банковских кредитов для развития значительно ухудшается финансовое положение предприятий различных отраслей промышленности, формируются риски их банкротства. Для разработки и реализации эффективной государственной промышленной политики и поддержки производственных предприятий необходимо понимать в каком финансовом состоянии находятся отрасли промышленности, в каких отраслях наблюдаются повышенные риски банкротства предприятий. В связи с этим возрастает актуальность оценки вероятности банкротства не отдельных предприятий, а отраслей промышленности в целом. Анализ вероятности банкротства становится неотъемлемым инструментом противостояния негативным воздействиям мировых экономических тенденций. Попытки спрогнозировать вероятность банкротства предприятий осуществлялись еще в начале ХХ века. Оценка рисков банкротства предприятий сводилась к расчету коэффициентов ликвидности, дальнейшему анализу их динамики и сравнению с нормативными уровнями. При исследовании рисков банкротства той или иной отрасли промышленности и российскими, и зарубежными учеными оценке подвергалась только группа крупнейших предприятий. В результате такого подхода значительное число предприятий оставалось за гранью исследований и выводы о финансовом положении и состоятельности отраслей промышленности в территориальных системах становились некорректными. В настоящее время в научной литературе отсутствует универсальный методический подход к оценке вероятности банкротства отраслей промышленности, который бы подходил в равной степени и для крупных, и средних, и малых предприятий. Рассчитываемые интегральные показатели вероятности их банкротства по данным за последний отчетный период совершенно не учитывают динамику изменения вероятности их банкротства в прошлом. Такой подход не позволяет сделать обоснованный вывод относительно перспектив изменения их финансовой устойчивости и вероятности банкротства в будущем, поскольку учитывается только определенный момент времени. Исследование динамики изменения вероятности банкротства предприятий в прошлом способствует лучшему пониманию факторов, влияющих на финансовую устойчивость хозяйствующих субъектов в периоды нарастания кризисных явлений в экономике и периоды ее восстановления. Исследование вероятности банкротства не отдельных предприятий, а их совокупности – отрасли в целом, за продолжительный период времени позволит разработать эффективную стратегию управления и предотвращения банкротства предприятий.</w:t>
      </w:r>
    </w:p>
    <w:p w14:paraId="310DB0BC" w14:textId="5349B7A3" w:rsidR="00ED08BE" w:rsidRDefault="00ED08BE" w:rsidP="00ED08BE">
      <w:pPr>
        <w:spacing w:after="0" w:line="240" w:lineRule="auto"/>
        <w:ind w:firstLine="709"/>
        <w:jc w:val="both"/>
        <w:rPr>
          <w:rFonts w:ascii="Times New Roman" w:hAnsi="Times New Roman" w:cs="Times New Roman"/>
          <w:sz w:val="24"/>
          <w:szCs w:val="24"/>
        </w:rPr>
      </w:pPr>
      <w:r w:rsidRPr="00ED08BE">
        <w:rPr>
          <w:rFonts w:ascii="Times New Roman" w:hAnsi="Times New Roman" w:cs="Times New Roman"/>
          <w:sz w:val="24"/>
          <w:szCs w:val="24"/>
        </w:rPr>
        <w:t xml:space="preserve">Проблема оценки вероятности банкротства начала освещаться представителями школы аналитиков по прогнозированию возможного банкротства компаний с начала ХХ </w:t>
      </w:r>
      <w:r w:rsidRPr="00ED08BE">
        <w:rPr>
          <w:rFonts w:ascii="Times New Roman" w:hAnsi="Times New Roman" w:cs="Times New Roman"/>
          <w:sz w:val="24"/>
          <w:szCs w:val="24"/>
        </w:rPr>
        <w:lastRenderedPageBreak/>
        <w:t>века. Методика и техника прогнозирования банкротства отражены в трудах американского исследователя Э. Альтмана. В экономической практике модели прогнозирования банкротства являются эффективным инструментом для оценки финансового состояния предприятий и принятия решений по их управлению. Работы американского ученого созданы на основе множественного дискриминантного анализа (MDA-модель) оценки кредитоспособности, которая может разделить предприятия на два класса: финансово устойчивые и с высокой вероятностью банкротства. На практике широко использовалась пятифакторная модель прогнозирования банкротства предприятий Э. Альтмана [</w:t>
      </w:r>
      <w:r w:rsidR="009D5CC6">
        <w:rPr>
          <w:rFonts w:ascii="Times New Roman" w:hAnsi="Times New Roman" w:cs="Times New Roman"/>
          <w:sz w:val="24"/>
          <w:szCs w:val="24"/>
        </w:rPr>
        <w:t>1</w:t>
      </w:r>
      <w:r w:rsidRPr="00ED08BE">
        <w:rPr>
          <w:rFonts w:ascii="Times New Roman" w:hAnsi="Times New Roman" w:cs="Times New Roman"/>
          <w:sz w:val="24"/>
          <w:szCs w:val="24"/>
        </w:rPr>
        <w:t>]. Для оценки вероятности банкротства предприятий им использовались статистические и эконометрические инструменты. Данная модель применима лишь к компаниям, чьи ценные бумаги торгуются на фондовой бирже, и это ограничивает возможности ее применения при исследовании вероятности банкротства отраслей промышленности, поскольку не все предприятия являются акционерными. Факторы, учтенные в модели Э. Альтмана, отображают различные аспекты деятельности предприятий, и это позволяет прогнозировать динамику изменения их финансовой устойчивости с достаточно высоким уровнем достоверности (95% в течение одного года и 83% – в течение двух лет).</w:t>
      </w:r>
    </w:p>
    <w:p w14:paraId="2720E8B1" w14:textId="77777777" w:rsidR="00ED08BE" w:rsidRPr="00ED08BE" w:rsidRDefault="00ED08BE" w:rsidP="00ED08BE">
      <w:pPr>
        <w:spacing w:after="0" w:line="240" w:lineRule="auto"/>
        <w:ind w:firstLine="709"/>
        <w:jc w:val="both"/>
        <w:rPr>
          <w:rFonts w:ascii="Times New Roman" w:hAnsi="Times New Roman" w:cs="Times New Roman"/>
          <w:sz w:val="24"/>
          <w:szCs w:val="24"/>
        </w:rPr>
      </w:pPr>
      <w:r w:rsidRPr="00ED08BE">
        <w:rPr>
          <w:rFonts w:ascii="Times New Roman" w:hAnsi="Times New Roman" w:cs="Times New Roman"/>
          <w:sz w:val="24"/>
          <w:szCs w:val="24"/>
        </w:rPr>
        <w:t xml:space="preserve">Теоретический обзор исследований показал, что эконометрические </w:t>
      </w:r>
      <w:proofErr w:type="spellStart"/>
      <w:r w:rsidRPr="00ED08BE">
        <w:rPr>
          <w:rFonts w:ascii="Times New Roman" w:hAnsi="Times New Roman" w:cs="Times New Roman"/>
          <w:sz w:val="24"/>
          <w:szCs w:val="24"/>
        </w:rPr>
        <w:t>логит</w:t>
      </w:r>
      <w:proofErr w:type="spellEnd"/>
      <w:r w:rsidRPr="00ED08BE">
        <w:rPr>
          <w:rFonts w:ascii="Times New Roman" w:hAnsi="Times New Roman" w:cs="Times New Roman"/>
          <w:sz w:val="24"/>
          <w:szCs w:val="24"/>
        </w:rPr>
        <w:t>- и пробит- модели не отличаются универсальностью при оценке вероятности банкротства предприятий, поскольку формируются для предприятий отдельной отрасли. Объединение в панель наблюдений предприятий разных отраслей ведет к усреднению результативной переменной и потере отраслевой специфики в оценке вероятности их банкротства. При использовании данного метода возникает проблема выбора ключевых факторов для оценки рисков потери финансовой состоятельности предприятий, исследователи зачастую включают в модель зависимые друг от друга переменные, что приводит к появлению мультиколлинеарности в модели, в результате чего модель становится не достоверной. Негативное влияние на формируемые с использованием данного метода результаты оказывает и высокая неоднородность по уровню финансовой состоятельности хозяйствующих субъектов, которые подвергаются оценке. Из-за этого, получаемые коэффициенты в модели становятся несостоятельными. Результаты формируемых регрессионных моделей сильно зависят от динамики изменения оцениваемых переменных в прошлом и их значительное изменение в будущем усложняет оценку вероятности банкротства предприятий, пороговые значения по которым формируются оценки об их финансовой состоятельности становятся не корректными.</w:t>
      </w:r>
    </w:p>
    <w:p w14:paraId="49E07560" w14:textId="50ED200C" w:rsidR="00ED08BE" w:rsidRPr="00ED08BE" w:rsidRDefault="00ED08BE" w:rsidP="00ED08BE">
      <w:pPr>
        <w:spacing w:after="0" w:line="240" w:lineRule="auto"/>
        <w:ind w:firstLine="709"/>
        <w:jc w:val="both"/>
        <w:rPr>
          <w:rFonts w:ascii="Times New Roman" w:hAnsi="Times New Roman" w:cs="Times New Roman"/>
          <w:sz w:val="24"/>
          <w:szCs w:val="24"/>
        </w:rPr>
      </w:pPr>
      <w:r w:rsidRPr="00ED08BE">
        <w:rPr>
          <w:rFonts w:ascii="Times New Roman" w:hAnsi="Times New Roman" w:cs="Times New Roman"/>
          <w:sz w:val="24"/>
          <w:szCs w:val="24"/>
        </w:rPr>
        <w:t xml:space="preserve">Дискриминантные модели оценки вероятности банкротства предприятий лишены ряда ограничений, которые характерны для эконометрических моделей. При их использовании упрощается выбор включаемых переменных, могут использоваться и взаимосвязанные показатели, что является недопустимым в регрессионных моделях. Оценка вероятности банкротства предприятий с использованием многомерного анализа может осуществляться и на определенный момент времени, для этого не требуется формирование длинных временных рядов, которые необходимы в регрессионном анализе. Коэффициенты в дискриминантных моделях не требуют корректировки с течением времени, как в регрессионных моделях, в которых они напрямую зависят от наблюдаемой динамики оцениваемых переменных в прошлом. При этом, имеются значительные ограничения в применении дискриминантных моделей при оценке вероятности банкротства предприятий. В частности, они не учитывают отраслевую специфику предприятий, задаваемые исследователями пороговые значения одинаково используются для оценки финансовой состоятельности предприятий различных видов экономической деятельности, и это искажает реальную картину их финансового состояния, снижает надежность формируемых прогнозов. В таких моделях сложно учитывается и пространственная специфика размещения оцениваемых предприятий. Особенности экономического развития территории, наличие квалифицированных кадров, удаленность от объектов инфраструктуры и другие пространственные факторы не оцениваются в таких моделях. В эконометрических моделях </w:t>
      </w:r>
      <w:r w:rsidRPr="00ED08BE">
        <w:rPr>
          <w:rFonts w:ascii="Times New Roman" w:hAnsi="Times New Roman" w:cs="Times New Roman"/>
          <w:sz w:val="24"/>
          <w:szCs w:val="24"/>
        </w:rPr>
        <w:lastRenderedPageBreak/>
        <w:t>для их оценки вводятся фиктивные переменные бинарного вида, принимающие значения 1 или 0 в зависимости от расположения предприятия и наличия соответствующей инфраструктуры. В многомерном дискриминантном анализе при оценке вероятности банкротства предприятий не учитывается и их размер. Данный фактор, как показали регрессионные модели, оказывает значительное влияние на финансовую состоятельность хозяйствующих субъектов. Но, самым главным недостатком многомерного анализа является субъективность выбора пороговых значений для оценки вероятности банкротства предприятий. Данные значения определяются исследователями экспертным путем в зависимости от типа используемых в моделях переменных и далее корректируются для учета специфики осуществляемой предприятиями хозяйственной деятельности. В эконометрических моделях вероятность банкротства рассчитывается исходя из полученного значения интегрального показателя Z. При таком подходе субъективность оценки финансовой состоятельности предприятий исключается. Для российской экономики наиболее достоверной, с точностью прогноза 95% и более универсальной считается пятифакторная модель Э. Альтмана (1). Основным ее преимуществом является то, что она учитывает факторы, отображающие различные аспекты деятельности организации и это делает методику более универсальной, позволяет получить более точный прогноз вероятности банкротства по сравнению с другими методиками. При этом следует отметить, что модель Альтмана применима лишь к компаниям, чьи ценные бумаги торгуются на фондовой бирже, и это ограничивает возможности применения модели при исследовании вероятности банкротства отраслей промышленности, поскольку не все предприятия являются акционерными. Для адаптации данной модели к оценке, моделированию и сценарному прогнозированию финансовой несостоятельности отраслей промышленности предлагается исключить фактор Х4, отражающий отношение рыночной стоимости акций к сумме обязательств предприятия. Это изменение позволит более достоверно оценить вероятность банкротства отраслей, включая в выборку не только крупные акционерные предприятия, но и средние и малые. Модифицированная методика Э. Альтмана (без переменной Х4) на начальном этапе исследования будет использоваться нами для оценки динамики изменения вероятности банкротства каждого предприятия определенной отрасли промышленности за период с 1999 по 2022 гг. Разрабатываемая методика учитывает отраслевую специфику и может быть успешно применима для оценки вероятности банкротства предприятий в разных отраслях промышленности. Полученные значения Z статистики помогут оценить перспективы банкротства отдельно взятых предприятий.</w:t>
      </w:r>
      <w:r w:rsidR="009D5CC6">
        <w:rPr>
          <w:rFonts w:ascii="Times New Roman" w:hAnsi="Times New Roman" w:cs="Times New Roman"/>
          <w:sz w:val="24"/>
          <w:szCs w:val="24"/>
        </w:rPr>
        <w:t xml:space="preserve"> </w:t>
      </w:r>
      <w:r w:rsidRPr="00ED08BE">
        <w:rPr>
          <w:rFonts w:ascii="Times New Roman" w:hAnsi="Times New Roman" w:cs="Times New Roman"/>
          <w:sz w:val="24"/>
          <w:szCs w:val="24"/>
        </w:rPr>
        <w:t>На следующем этапе предлагается расчет среднегеометрического уровня данного показателя по крупным, средним и малым предприятиям (</w:t>
      </w:r>
      <w:r w:rsidR="009D5CC6">
        <w:rPr>
          <w:rFonts w:ascii="Times New Roman" w:hAnsi="Times New Roman" w:cs="Times New Roman"/>
          <w:sz w:val="24"/>
          <w:szCs w:val="24"/>
        </w:rPr>
        <w:t>1</w:t>
      </w:r>
      <w:r w:rsidRPr="00ED08BE">
        <w:rPr>
          <w:rFonts w:ascii="Times New Roman" w:hAnsi="Times New Roman" w:cs="Times New Roman"/>
          <w:sz w:val="24"/>
          <w:szCs w:val="24"/>
        </w:rPr>
        <w:t>):</w:t>
      </w:r>
    </w:p>
    <w:p w14:paraId="11C6292D" w14:textId="56C4E7C4" w:rsidR="009D5CC6" w:rsidRPr="00B9641B" w:rsidRDefault="009D5CC6" w:rsidP="00666004">
      <w:pPr>
        <w:spacing w:after="0" w:line="240" w:lineRule="auto"/>
        <w:jc w:val="right"/>
        <w:rPr>
          <w:color w:val="000000"/>
          <w:sz w:val="28"/>
          <w:szCs w:val="28"/>
          <w:bdr w:val="none" w:sz="0" w:space="0" w:color="auto" w:frame="1"/>
        </w:rPr>
      </w:pPr>
      <m:oMath>
        <m:sSub>
          <m:sSubPr>
            <m:ctrlPr>
              <w:rPr>
                <w:rFonts w:ascii="Cambria Math" w:hAnsi="Cambria Math"/>
                <w:i/>
                <w:color w:val="000000"/>
                <w:sz w:val="28"/>
                <w:szCs w:val="28"/>
                <w:bdr w:val="none" w:sz="0" w:space="0" w:color="auto" w:frame="1"/>
              </w:rPr>
            </m:ctrlPr>
          </m:sSubPr>
          <m:e>
            <m:acc>
              <m:accPr>
                <m:chr m:val="̅"/>
                <m:ctrlPr>
                  <w:rPr>
                    <w:rFonts w:ascii="Cambria Math" w:hAnsi="Cambria Math"/>
                    <w:i/>
                    <w:color w:val="000000"/>
                    <w:sz w:val="28"/>
                    <w:szCs w:val="28"/>
                    <w:bdr w:val="none" w:sz="0" w:space="0" w:color="auto" w:frame="1"/>
                  </w:rPr>
                </m:ctrlPr>
              </m:accPr>
              <m:e>
                <m:r>
                  <w:rPr>
                    <w:rFonts w:ascii="Cambria Math" w:hAnsi="Cambria Math"/>
                    <w:color w:val="000000"/>
                    <w:sz w:val="28"/>
                    <w:szCs w:val="28"/>
                    <w:bdr w:val="none" w:sz="0" w:space="0" w:color="auto" w:frame="1"/>
                    <w:lang w:val="en-US"/>
                  </w:rPr>
                  <m:t>Z</m:t>
                </m:r>
              </m:e>
            </m:acc>
          </m:e>
          <m:sub>
            <m:r>
              <w:rPr>
                <w:rFonts w:ascii="Cambria Math" w:hAnsi="Cambria Math"/>
                <w:color w:val="000000"/>
                <w:sz w:val="28"/>
                <w:szCs w:val="28"/>
                <w:bdr w:val="none" w:sz="0" w:space="0" w:color="auto" w:frame="1"/>
              </w:rPr>
              <m:t>t</m:t>
            </m:r>
          </m:sub>
        </m:sSub>
        <m:r>
          <w:rPr>
            <w:rFonts w:ascii="Cambria Math" w:hAnsi="Cambria Math"/>
            <w:color w:val="000000"/>
            <w:sz w:val="28"/>
            <w:szCs w:val="28"/>
            <w:bdr w:val="none" w:sz="0" w:space="0" w:color="auto" w:frame="1"/>
          </w:rPr>
          <m:t>=</m:t>
        </m:r>
        <m:rad>
          <m:radPr>
            <m:ctrlPr>
              <w:rPr>
                <w:rFonts w:ascii="Cambria Math" w:hAnsi="Cambria Math"/>
                <w:i/>
                <w:color w:val="000000"/>
                <w:sz w:val="28"/>
                <w:szCs w:val="28"/>
                <w:bdr w:val="none" w:sz="0" w:space="0" w:color="auto" w:frame="1"/>
              </w:rPr>
            </m:ctrlPr>
          </m:radPr>
          <m:deg>
            <m:r>
              <w:rPr>
                <w:rFonts w:ascii="Cambria Math" w:hAnsi="Cambria Math"/>
                <w:color w:val="000000"/>
                <w:sz w:val="28"/>
                <w:szCs w:val="28"/>
                <w:bdr w:val="none" w:sz="0" w:space="0" w:color="auto" w:frame="1"/>
              </w:rPr>
              <m:t>n</m:t>
            </m:r>
          </m:deg>
          <m:e>
            <m:sSub>
              <m:sSubPr>
                <m:ctrlPr>
                  <w:rPr>
                    <w:rFonts w:ascii="Cambria Math" w:hAnsi="Cambria Math"/>
                    <w:i/>
                    <w:color w:val="000000"/>
                    <w:sz w:val="28"/>
                    <w:szCs w:val="28"/>
                    <w:bdr w:val="none" w:sz="0" w:space="0" w:color="auto" w:frame="1"/>
                  </w:rPr>
                </m:ctrlPr>
              </m:sSubPr>
              <m:e>
                <m:r>
                  <w:rPr>
                    <w:rFonts w:ascii="Cambria Math" w:hAnsi="Cambria Math"/>
                    <w:color w:val="000000"/>
                    <w:sz w:val="28"/>
                    <w:szCs w:val="28"/>
                    <w:bdr w:val="none" w:sz="0" w:space="0" w:color="auto" w:frame="1"/>
                  </w:rPr>
                  <m:t>Z</m:t>
                </m:r>
              </m:e>
              <m:sub>
                <m:r>
                  <w:rPr>
                    <w:rFonts w:ascii="Cambria Math" w:hAnsi="Cambria Math"/>
                    <w:color w:val="000000"/>
                    <w:sz w:val="28"/>
                    <w:szCs w:val="28"/>
                    <w:bdr w:val="none" w:sz="0" w:space="0" w:color="auto" w:frame="1"/>
                  </w:rPr>
                  <m:t>i</m:t>
                </m:r>
              </m:sub>
            </m:sSub>
            <m:r>
              <w:rPr>
                <w:rFonts w:ascii="Cambria Math" w:hAnsi="Cambria Math"/>
                <w:color w:val="000000"/>
                <w:sz w:val="28"/>
                <w:szCs w:val="28"/>
                <w:bdr w:val="none" w:sz="0" w:space="0" w:color="auto" w:frame="1"/>
              </w:rPr>
              <m:t>*</m:t>
            </m:r>
            <m:sSub>
              <m:sSubPr>
                <m:ctrlPr>
                  <w:rPr>
                    <w:rFonts w:ascii="Cambria Math" w:hAnsi="Cambria Math"/>
                    <w:i/>
                    <w:color w:val="000000"/>
                    <w:sz w:val="28"/>
                    <w:szCs w:val="28"/>
                    <w:bdr w:val="none" w:sz="0" w:space="0" w:color="auto" w:frame="1"/>
                  </w:rPr>
                </m:ctrlPr>
              </m:sSubPr>
              <m:e>
                <m:r>
                  <w:rPr>
                    <w:rFonts w:ascii="Cambria Math" w:hAnsi="Cambria Math"/>
                    <w:color w:val="000000"/>
                    <w:sz w:val="28"/>
                    <w:szCs w:val="28"/>
                    <w:bdr w:val="none" w:sz="0" w:space="0" w:color="auto" w:frame="1"/>
                  </w:rPr>
                  <m:t>Z</m:t>
                </m:r>
              </m:e>
              <m:sub>
                <m:r>
                  <w:rPr>
                    <w:rFonts w:ascii="Cambria Math" w:hAnsi="Cambria Math"/>
                    <w:color w:val="000000"/>
                    <w:sz w:val="28"/>
                    <w:szCs w:val="28"/>
                    <w:bdr w:val="none" w:sz="0" w:space="0" w:color="auto" w:frame="1"/>
                  </w:rPr>
                  <m:t>i+1</m:t>
                </m:r>
              </m:sub>
            </m:sSub>
            <m:r>
              <w:rPr>
                <w:rFonts w:ascii="Cambria Math" w:hAnsi="Cambria Math"/>
                <w:color w:val="000000"/>
                <w:sz w:val="28"/>
                <w:szCs w:val="28"/>
                <w:bdr w:val="none" w:sz="0" w:space="0" w:color="auto" w:frame="1"/>
              </w:rPr>
              <m:t>*</m:t>
            </m:r>
            <m:sSub>
              <m:sSubPr>
                <m:ctrlPr>
                  <w:rPr>
                    <w:rFonts w:ascii="Cambria Math" w:hAnsi="Cambria Math"/>
                    <w:i/>
                    <w:color w:val="000000"/>
                    <w:sz w:val="28"/>
                    <w:szCs w:val="28"/>
                    <w:bdr w:val="none" w:sz="0" w:space="0" w:color="auto" w:frame="1"/>
                  </w:rPr>
                </m:ctrlPr>
              </m:sSubPr>
              <m:e>
                <m:r>
                  <w:rPr>
                    <w:rFonts w:ascii="Cambria Math" w:hAnsi="Cambria Math"/>
                    <w:color w:val="000000"/>
                    <w:sz w:val="28"/>
                    <w:szCs w:val="28"/>
                    <w:bdr w:val="none" w:sz="0" w:space="0" w:color="auto" w:frame="1"/>
                  </w:rPr>
                  <m:t>Z</m:t>
                </m:r>
              </m:e>
              <m:sub>
                <m:r>
                  <w:rPr>
                    <w:rFonts w:ascii="Cambria Math" w:hAnsi="Cambria Math"/>
                    <w:color w:val="000000"/>
                    <w:sz w:val="28"/>
                    <w:szCs w:val="28"/>
                    <w:bdr w:val="none" w:sz="0" w:space="0" w:color="auto" w:frame="1"/>
                  </w:rPr>
                  <m:t>i+2</m:t>
                </m:r>
              </m:sub>
            </m:sSub>
            <m:r>
              <w:rPr>
                <w:rFonts w:ascii="Cambria Math" w:hAnsi="Cambria Math"/>
                <w:color w:val="000000"/>
                <w:sz w:val="28"/>
                <w:szCs w:val="28"/>
                <w:bdr w:val="none" w:sz="0" w:space="0" w:color="auto" w:frame="1"/>
              </w:rPr>
              <m:t>*…*</m:t>
            </m:r>
            <m:sSub>
              <m:sSubPr>
                <m:ctrlPr>
                  <w:rPr>
                    <w:rFonts w:ascii="Cambria Math" w:hAnsi="Cambria Math"/>
                    <w:i/>
                    <w:color w:val="000000"/>
                    <w:sz w:val="28"/>
                    <w:szCs w:val="28"/>
                    <w:bdr w:val="none" w:sz="0" w:space="0" w:color="auto" w:frame="1"/>
                  </w:rPr>
                </m:ctrlPr>
              </m:sSubPr>
              <m:e>
                <m:r>
                  <w:rPr>
                    <w:rFonts w:ascii="Cambria Math" w:hAnsi="Cambria Math"/>
                    <w:color w:val="000000"/>
                    <w:sz w:val="28"/>
                    <w:szCs w:val="28"/>
                    <w:bdr w:val="none" w:sz="0" w:space="0" w:color="auto" w:frame="1"/>
                  </w:rPr>
                  <m:t>Z</m:t>
                </m:r>
              </m:e>
              <m:sub>
                <m:r>
                  <w:rPr>
                    <w:rFonts w:ascii="Cambria Math" w:hAnsi="Cambria Math"/>
                    <w:color w:val="000000"/>
                    <w:sz w:val="28"/>
                    <w:szCs w:val="28"/>
                    <w:bdr w:val="none" w:sz="0" w:space="0" w:color="auto" w:frame="1"/>
                  </w:rPr>
                  <m:t>n</m:t>
                </m:r>
              </m:sub>
            </m:sSub>
          </m:e>
        </m:rad>
      </m:oMath>
      <w:r w:rsidRPr="00B9641B">
        <w:rPr>
          <w:color w:val="000000"/>
          <w:sz w:val="28"/>
          <w:szCs w:val="28"/>
          <w:bdr w:val="none" w:sz="0" w:space="0" w:color="auto" w:frame="1"/>
        </w:rPr>
        <w:tab/>
      </w:r>
      <w:r w:rsidRPr="00B9641B">
        <w:rPr>
          <w:color w:val="000000"/>
          <w:sz w:val="28"/>
          <w:szCs w:val="28"/>
          <w:bdr w:val="none" w:sz="0" w:space="0" w:color="auto" w:frame="1"/>
        </w:rPr>
        <w:tab/>
      </w:r>
      <w:r w:rsidRPr="00B9641B">
        <w:rPr>
          <w:color w:val="000000"/>
          <w:sz w:val="28"/>
          <w:szCs w:val="28"/>
          <w:bdr w:val="none" w:sz="0" w:space="0" w:color="auto" w:frame="1"/>
        </w:rPr>
        <w:tab/>
      </w:r>
      <w:r w:rsidRPr="009D5CC6">
        <w:rPr>
          <w:rFonts w:ascii="Times New Roman" w:hAnsi="Times New Roman" w:cs="Times New Roman"/>
          <w:sz w:val="24"/>
          <w:szCs w:val="24"/>
        </w:rPr>
        <w:t xml:space="preserve"> (</w:t>
      </w:r>
      <w:r w:rsidRPr="009D5CC6">
        <w:rPr>
          <w:rFonts w:ascii="Times New Roman" w:hAnsi="Times New Roman" w:cs="Times New Roman"/>
          <w:sz w:val="24"/>
          <w:szCs w:val="24"/>
        </w:rPr>
        <w:t>1</w:t>
      </w:r>
      <w:r w:rsidRPr="009D5CC6">
        <w:rPr>
          <w:rFonts w:ascii="Times New Roman" w:hAnsi="Times New Roman" w:cs="Times New Roman"/>
          <w:sz w:val="24"/>
          <w:szCs w:val="24"/>
        </w:rPr>
        <w:t>)</w:t>
      </w:r>
    </w:p>
    <w:p w14:paraId="2E5AE26D" w14:textId="77132A43" w:rsidR="00ED08BE" w:rsidRPr="00ED08BE" w:rsidRDefault="00ED08BE" w:rsidP="00ED08BE">
      <w:pPr>
        <w:spacing w:after="0" w:line="240" w:lineRule="auto"/>
        <w:ind w:firstLine="709"/>
        <w:jc w:val="both"/>
        <w:rPr>
          <w:rFonts w:ascii="Times New Roman" w:hAnsi="Times New Roman" w:cs="Times New Roman"/>
          <w:sz w:val="24"/>
          <w:szCs w:val="24"/>
        </w:rPr>
      </w:pPr>
      <w:r w:rsidRPr="00ED08BE">
        <w:rPr>
          <w:rFonts w:ascii="Times New Roman" w:hAnsi="Times New Roman" w:cs="Times New Roman"/>
          <w:sz w:val="24"/>
          <w:szCs w:val="24"/>
        </w:rPr>
        <w:t xml:space="preserve">где </w:t>
      </w:r>
      <m:oMath>
        <m:sSub>
          <m:sSubPr>
            <m:ctrlPr>
              <w:rPr>
                <w:rFonts w:ascii="Cambria Math" w:hAnsi="Cambria Math"/>
                <w:i/>
                <w:color w:val="000000"/>
                <w:sz w:val="28"/>
                <w:szCs w:val="28"/>
                <w:bdr w:val="none" w:sz="0" w:space="0" w:color="auto" w:frame="1"/>
              </w:rPr>
            </m:ctrlPr>
          </m:sSubPr>
          <m:e>
            <m:acc>
              <m:accPr>
                <m:chr m:val="̅"/>
                <m:ctrlPr>
                  <w:rPr>
                    <w:rFonts w:ascii="Cambria Math" w:hAnsi="Cambria Math"/>
                    <w:i/>
                    <w:color w:val="000000"/>
                    <w:sz w:val="28"/>
                    <w:szCs w:val="28"/>
                    <w:bdr w:val="none" w:sz="0" w:space="0" w:color="auto" w:frame="1"/>
                  </w:rPr>
                </m:ctrlPr>
              </m:accPr>
              <m:e>
                <m:r>
                  <w:rPr>
                    <w:rFonts w:ascii="Cambria Math" w:hAnsi="Cambria Math"/>
                    <w:color w:val="000000"/>
                    <w:sz w:val="28"/>
                    <w:szCs w:val="28"/>
                    <w:bdr w:val="none" w:sz="0" w:space="0" w:color="auto" w:frame="1"/>
                  </w:rPr>
                  <m:t xml:space="preserve"> </m:t>
                </m:r>
                <m:r>
                  <w:rPr>
                    <w:rFonts w:ascii="Cambria Math" w:hAnsi="Cambria Math"/>
                    <w:color w:val="000000"/>
                    <w:sz w:val="28"/>
                    <w:szCs w:val="28"/>
                    <w:bdr w:val="none" w:sz="0" w:space="0" w:color="auto" w:frame="1"/>
                    <w:lang w:val="en-US"/>
                  </w:rPr>
                  <m:t>Z</m:t>
                </m:r>
              </m:e>
            </m:acc>
          </m:e>
          <m:sub>
            <m:r>
              <w:rPr>
                <w:rFonts w:ascii="Cambria Math" w:hAnsi="Cambria Math"/>
                <w:color w:val="000000"/>
                <w:sz w:val="28"/>
                <w:szCs w:val="28"/>
                <w:bdr w:val="none" w:sz="0" w:space="0" w:color="auto" w:frame="1"/>
              </w:rPr>
              <m:t>t</m:t>
            </m:r>
          </m:sub>
        </m:sSub>
      </m:oMath>
      <w:r w:rsidR="009D5CC6" w:rsidRPr="00B9641B">
        <w:rPr>
          <w:color w:val="000000"/>
          <w:sz w:val="28"/>
          <w:szCs w:val="28"/>
          <w:bdr w:val="none" w:sz="0" w:space="0" w:color="auto" w:frame="1"/>
        </w:rPr>
        <w:t xml:space="preserve"> </w:t>
      </w:r>
      <w:r w:rsidRPr="00ED08BE">
        <w:rPr>
          <w:rFonts w:ascii="Times New Roman" w:hAnsi="Times New Roman" w:cs="Times New Roman"/>
          <w:sz w:val="24"/>
          <w:szCs w:val="24"/>
        </w:rPr>
        <w:t>– среднегеометрическое значение Z статистики, рассчитанное по совокупности предприятий определенной отрасли промышленности в субъекте РФ на определенный момент времени;</w:t>
      </w:r>
      <w:r w:rsidR="009D5CC6">
        <w:rPr>
          <w:rFonts w:ascii="Times New Roman" w:hAnsi="Times New Roman" w:cs="Times New Roman"/>
          <w:sz w:val="24"/>
          <w:szCs w:val="24"/>
        </w:rPr>
        <w:t xml:space="preserve"> </w:t>
      </w:r>
      <m:oMath>
        <m:sSub>
          <m:sSubPr>
            <m:ctrlPr>
              <w:rPr>
                <w:rFonts w:ascii="Cambria Math" w:hAnsi="Cambria Math"/>
                <w:i/>
                <w:color w:val="000000"/>
                <w:sz w:val="28"/>
                <w:szCs w:val="28"/>
                <w:bdr w:val="none" w:sz="0" w:space="0" w:color="auto" w:frame="1"/>
              </w:rPr>
            </m:ctrlPr>
          </m:sSubPr>
          <m:e>
            <m:r>
              <w:rPr>
                <w:rFonts w:ascii="Cambria Math" w:hAnsi="Cambria Math"/>
                <w:color w:val="000000"/>
                <w:sz w:val="28"/>
                <w:szCs w:val="28"/>
                <w:bdr w:val="none" w:sz="0" w:space="0" w:color="auto" w:frame="1"/>
              </w:rPr>
              <m:t>Z</m:t>
            </m:r>
          </m:e>
          <m:sub>
            <m:r>
              <w:rPr>
                <w:rFonts w:ascii="Cambria Math" w:hAnsi="Cambria Math"/>
                <w:color w:val="000000"/>
                <w:sz w:val="28"/>
                <w:szCs w:val="28"/>
                <w:bdr w:val="none" w:sz="0" w:space="0" w:color="auto" w:frame="1"/>
                <w:lang w:val="en-US"/>
              </w:rPr>
              <m:t>i</m:t>
            </m:r>
          </m:sub>
        </m:sSub>
      </m:oMath>
      <w:r w:rsidR="009D5CC6" w:rsidRPr="00B9641B">
        <w:rPr>
          <w:color w:val="000000"/>
          <w:sz w:val="28"/>
          <w:szCs w:val="28"/>
          <w:bdr w:val="none" w:sz="0" w:space="0" w:color="auto" w:frame="1"/>
        </w:rPr>
        <w:t xml:space="preserve"> </w:t>
      </w:r>
      <w:r w:rsidRPr="00ED08BE">
        <w:rPr>
          <w:rFonts w:ascii="Times New Roman" w:hAnsi="Times New Roman" w:cs="Times New Roman"/>
          <w:sz w:val="24"/>
          <w:szCs w:val="24"/>
        </w:rPr>
        <w:t>– значение Z статистики для отдельно взятого предприятия отрасли.</w:t>
      </w:r>
    </w:p>
    <w:p w14:paraId="695D971C" w14:textId="77777777" w:rsidR="009D5CC6" w:rsidRDefault="009D5CC6" w:rsidP="00ED08BE">
      <w:pPr>
        <w:spacing w:after="0" w:line="240" w:lineRule="auto"/>
        <w:ind w:firstLine="709"/>
        <w:jc w:val="both"/>
        <w:rPr>
          <w:rFonts w:ascii="Times New Roman" w:hAnsi="Times New Roman" w:cs="Times New Roman"/>
          <w:sz w:val="24"/>
          <w:szCs w:val="24"/>
        </w:rPr>
      </w:pPr>
    </w:p>
    <w:p w14:paraId="6FAD3FB2" w14:textId="6D3A1C53" w:rsidR="00ED08BE" w:rsidRPr="00ED08BE" w:rsidRDefault="00ED08BE" w:rsidP="00ED08BE">
      <w:pPr>
        <w:spacing w:after="0" w:line="240" w:lineRule="auto"/>
        <w:ind w:firstLine="709"/>
        <w:jc w:val="both"/>
        <w:rPr>
          <w:rFonts w:ascii="Times New Roman" w:hAnsi="Times New Roman" w:cs="Times New Roman"/>
          <w:sz w:val="24"/>
          <w:szCs w:val="24"/>
        </w:rPr>
      </w:pPr>
      <w:r w:rsidRPr="00ED08BE">
        <w:rPr>
          <w:rFonts w:ascii="Times New Roman" w:hAnsi="Times New Roman" w:cs="Times New Roman"/>
          <w:sz w:val="24"/>
          <w:szCs w:val="24"/>
        </w:rPr>
        <w:t xml:space="preserve">Рассчитанные по модели Э. Альтмана значения Z статистики по всей совокупности предприятий в динамике за рассматриваемый период времени позволят оценить вероятность банкротства отраслей промышленности в регионе. Оценка финансовой состоятельности различных по размеру групп промышленных предприятий позволит избежать усреднения рассчитываемого интегрального показателя, которое возникает в случае оценки всей совокупности предприятий отрасли, а также позволит установить приоритеты государственной финансовой поддержки предприятий в рамках реализуемой в регионе промышленной политики. При интерпретации результатов многомерного дискриминантного анализа в данном исследовании предполагается использование значений, рассчитанных с применением стандартных отклонений от среднегеометрической по всем предприятиям отрасли за весь рассматриваемый период с 1999 по 2022 гг. Высокий уровень вероятности </w:t>
      </w:r>
      <w:r w:rsidRPr="00ED08BE">
        <w:rPr>
          <w:rFonts w:ascii="Times New Roman" w:hAnsi="Times New Roman" w:cs="Times New Roman"/>
          <w:sz w:val="24"/>
          <w:szCs w:val="24"/>
        </w:rPr>
        <w:lastRenderedPageBreak/>
        <w:t xml:space="preserve">банкротства предприятий и отраслей промышленности в целом будет наблюдаться при значениях Z статистики, ниже средней геометрической на одно стандартное отклонение </w:t>
      </w:r>
      <w:r w:rsidR="009D5CC6" w:rsidRPr="00B9641B">
        <w:rPr>
          <w:color w:val="000000" w:themeColor="text1"/>
          <w:sz w:val="28"/>
          <w:szCs w:val="28"/>
          <w:bdr w:val="none" w:sz="0" w:space="0" w:color="auto" w:frame="1"/>
        </w:rPr>
        <w:t>(</w:t>
      </w:r>
      <m:oMath>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rPr>
              <m:t>δ</m:t>
            </m:r>
          </m:e>
          <m:sub>
            <m:r>
              <w:rPr>
                <w:rFonts w:ascii="Cambria Math" w:hAnsi="Cambria Math"/>
                <w:color w:val="000000" w:themeColor="text1"/>
                <w:sz w:val="28"/>
                <w:szCs w:val="28"/>
                <w:bdr w:val="none" w:sz="0" w:space="0" w:color="auto" w:frame="1"/>
                <w:lang w:val="en-US"/>
              </w:rPr>
              <m:t>it</m:t>
            </m:r>
          </m:sub>
        </m:sSub>
        <m:r>
          <w:rPr>
            <w:rFonts w:ascii="Cambria Math" w:hAnsi="Cambria Math"/>
            <w:color w:val="000000" w:themeColor="text1"/>
            <w:sz w:val="28"/>
            <w:szCs w:val="28"/>
            <w:bdr w:val="none" w:sz="0" w:space="0" w:color="auto" w:frame="1"/>
          </w:rPr>
          <m:t>)</m:t>
        </m:r>
      </m:oMath>
      <w:r w:rsidR="009D5CC6" w:rsidRPr="00ED08BE">
        <w:rPr>
          <w:rFonts w:ascii="Times New Roman" w:hAnsi="Times New Roman" w:cs="Times New Roman"/>
          <w:sz w:val="24"/>
          <w:szCs w:val="24"/>
        </w:rPr>
        <w:t xml:space="preserve"> </w:t>
      </w:r>
      <w:r w:rsidRPr="00ED08BE">
        <w:rPr>
          <w:rFonts w:ascii="Times New Roman" w:hAnsi="Times New Roman" w:cs="Times New Roman"/>
          <w:sz w:val="24"/>
          <w:szCs w:val="24"/>
        </w:rPr>
        <w:t>(</w:t>
      </w:r>
      <w:r w:rsidR="009D5CC6">
        <w:rPr>
          <w:rFonts w:ascii="Times New Roman" w:hAnsi="Times New Roman" w:cs="Times New Roman"/>
          <w:sz w:val="24"/>
          <w:szCs w:val="24"/>
        </w:rPr>
        <w:t>2</w:t>
      </w:r>
      <w:r w:rsidRPr="00ED08BE">
        <w:rPr>
          <w:rFonts w:ascii="Times New Roman" w:hAnsi="Times New Roman" w:cs="Times New Roman"/>
          <w:sz w:val="24"/>
          <w:szCs w:val="24"/>
        </w:rPr>
        <w:t>):</w:t>
      </w:r>
    </w:p>
    <w:p w14:paraId="4EDACDE6" w14:textId="4C0FB23A" w:rsidR="009D5CC6" w:rsidRPr="00B9641B" w:rsidRDefault="009D5CC6" w:rsidP="00666004">
      <w:pPr>
        <w:spacing w:after="100" w:afterAutospacing="1" w:line="240" w:lineRule="auto"/>
        <w:ind w:firstLine="709"/>
        <w:jc w:val="right"/>
        <w:rPr>
          <w:color w:val="000000" w:themeColor="text1"/>
          <w:sz w:val="28"/>
          <w:szCs w:val="28"/>
          <w:bdr w:val="none" w:sz="0" w:space="0" w:color="auto" w:frame="1"/>
        </w:rPr>
      </w:pPr>
      <m:oMath>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rPr>
              <m:t>Z</m:t>
            </m:r>
          </m:e>
          <m:sub>
            <m:r>
              <w:rPr>
                <w:rFonts w:ascii="Cambria Math" w:hAnsi="Cambria Math"/>
                <w:color w:val="000000" w:themeColor="text1"/>
                <w:sz w:val="28"/>
                <w:szCs w:val="28"/>
                <w:bdr w:val="none" w:sz="0" w:space="0" w:color="auto" w:frame="1"/>
                <w:lang w:val="en-US"/>
              </w:rPr>
              <m:t>i</m:t>
            </m:r>
          </m:sub>
        </m:sSub>
        <m:r>
          <w:rPr>
            <w:rFonts w:ascii="Cambria Math" w:hAnsi="Cambria Math"/>
            <w:color w:val="000000" w:themeColor="text1"/>
            <w:sz w:val="28"/>
            <w:szCs w:val="28"/>
            <w:bdr w:val="none" w:sz="0" w:space="0" w:color="auto" w:frame="1"/>
          </w:rPr>
          <m:t>&lt;</m:t>
        </m:r>
        <m:d>
          <m:dPr>
            <m:ctrlPr>
              <w:rPr>
                <w:rFonts w:ascii="Cambria Math" w:hAnsi="Cambria Math"/>
                <w:i/>
                <w:color w:val="000000" w:themeColor="text1"/>
                <w:sz w:val="28"/>
                <w:szCs w:val="28"/>
                <w:bdr w:val="none" w:sz="0" w:space="0" w:color="auto" w:frame="1"/>
              </w:rPr>
            </m:ctrlPr>
          </m:dPr>
          <m:e>
            <m:acc>
              <m:accPr>
                <m:chr m:val="̅"/>
                <m:ctrlPr>
                  <w:rPr>
                    <w:rFonts w:ascii="Cambria Math" w:hAnsi="Cambria Math"/>
                    <w:i/>
                    <w:color w:val="000000" w:themeColor="text1"/>
                    <w:sz w:val="28"/>
                    <w:szCs w:val="28"/>
                    <w:bdr w:val="none" w:sz="0" w:space="0" w:color="auto" w:frame="1"/>
                  </w:rPr>
                </m:ctrlPr>
              </m:accPr>
              <m:e>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rPr>
                      <m:t>Z</m:t>
                    </m:r>
                  </m:e>
                  <m:sub>
                    <m:r>
                      <w:rPr>
                        <w:rFonts w:ascii="Cambria Math" w:hAnsi="Cambria Math"/>
                        <w:color w:val="000000" w:themeColor="text1"/>
                        <w:sz w:val="28"/>
                        <w:szCs w:val="28"/>
                        <w:bdr w:val="none" w:sz="0" w:space="0" w:color="auto" w:frame="1"/>
                      </w:rPr>
                      <m:t>it</m:t>
                    </m:r>
                  </m:sub>
                </m:sSub>
              </m:e>
            </m:acc>
            <m:r>
              <w:rPr>
                <w:rFonts w:ascii="Cambria Math" w:hAnsi="Cambria Math"/>
                <w:color w:val="000000" w:themeColor="text1"/>
                <w:sz w:val="28"/>
                <w:szCs w:val="28"/>
                <w:bdr w:val="none" w:sz="0" w:space="0" w:color="auto" w:frame="1"/>
              </w:rPr>
              <m:t>-</m:t>
            </m:r>
            <m:acc>
              <m:accPr>
                <m:chr m:val="̅"/>
                <m:ctrlPr>
                  <w:rPr>
                    <w:rFonts w:ascii="Cambria Math" w:hAnsi="Cambria Math"/>
                    <w:i/>
                    <w:color w:val="000000" w:themeColor="text1"/>
                    <w:sz w:val="28"/>
                    <w:szCs w:val="28"/>
                    <w:bdr w:val="none" w:sz="0" w:space="0" w:color="auto" w:frame="1"/>
                  </w:rPr>
                </m:ctrlPr>
              </m:accPr>
              <m:e>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rPr>
                      <m:t>δ</m:t>
                    </m:r>
                  </m:e>
                  <m:sub>
                    <m:r>
                      <w:rPr>
                        <w:rFonts w:ascii="Cambria Math" w:hAnsi="Cambria Math"/>
                        <w:color w:val="000000" w:themeColor="text1"/>
                        <w:sz w:val="28"/>
                        <w:szCs w:val="28"/>
                        <w:bdr w:val="none" w:sz="0" w:space="0" w:color="auto" w:frame="1"/>
                      </w:rPr>
                      <m:t>it</m:t>
                    </m:r>
                  </m:sub>
                </m:sSub>
              </m:e>
            </m:acc>
          </m:e>
        </m:d>
        <m:r>
          <w:rPr>
            <w:rFonts w:ascii="Cambria Math" w:hAnsi="Cambria Math"/>
            <w:color w:val="000000" w:themeColor="text1"/>
            <w:sz w:val="28"/>
            <w:szCs w:val="28"/>
            <w:bdr w:val="none" w:sz="0" w:space="0" w:color="auto" w:frame="1"/>
          </w:rPr>
          <m:t>=</m:t>
        </m:r>
        <m:rad>
          <m:radPr>
            <m:ctrlPr>
              <w:rPr>
                <w:rFonts w:ascii="Cambria Math" w:hAnsi="Cambria Math"/>
                <w:i/>
                <w:color w:val="000000" w:themeColor="text1"/>
                <w:sz w:val="28"/>
                <w:szCs w:val="28"/>
                <w:bdr w:val="none" w:sz="0" w:space="0" w:color="auto" w:frame="1"/>
              </w:rPr>
            </m:ctrlPr>
          </m:radPr>
          <m:deg>
            <m:r>
              <w:rPr>
                <w:rFonts w:ascii="Cambria Math" w:hAnsi="Cambria Math"/>
                <w:color w:val="000000" w:themeColor="text1"/>
                <w:sz w:val="28"/>
                <w:szCs w:val="28"/>
                <w:bdr w:val="none" w:sz="0" w:space="0" w:color="auto" w:frame="1"/>
                <w:lang w:val="en-US"/>
              </w:rPr>
              <m:t>n</m:t>
            </m:r>
          </m:deg>
          <m:e>
            <m:acc>
              <m:accPr>
                <m:chr m:val="̅"/>
                <m:ctrlPr>
                  <w:rPr>
                    <w:rFonts w:ascii="Cambria Math" w:hAnsi="Cambria Math"/>
                    <w:i/>
                    <w:color w:val="000000" w:themeColor="text1"/>
                    <w:sz w:val="28"/>
                    <w:szCs w:val="28"/>
                    <w:bdr w:val="none" w:sz="0" w:space="0" w:color="auto" w:frame="1"/>
                  </w:rPr>
                </m:ctrlPr>
              </m:accPr>
              <m:e>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lang w:val="en-US"/>
                      </w:rPr>
                      <m:t>Z</m:t>
                    </m:r>
                  </m:e>
                  <m:sub>
                    <m:r>
                      <w:rPr>
                        <w:rFonts w:ascii="Cambria Math" w:hAnsi="Cambria Math"/>
                        <w:color w:val="000000" w:themeColor="text1"/>
                        <w:sz w:val="28"/>
                        <w:szCs w:val="28"/>
                        <w:bdr w:val="none" w:sz="0" w:space="0" w:color="auto" w:frame="1"/>
                        <w:lang w:val="en-US"/>
                      </w:rPr>
                      <m:t>t</m:t>
                    </m:r>
                  </m:sub>
                </m:sSub>
              </m:e>
            </m:acc>
            <m:r>
              <w:rPr>
                <w:rFonts w:ascii="Cambria Math" w:hAnsi="Cambria Math"/>
                <w:color w:val="000000" w:themeColor="text1"/>
                <w:sz w:val="28"/>
                <w:szCs w:val="28"/>
                <w:bdr w:val="none" w:sz="0" w:space="0" w:color="auto" w:frame="1"/>
              </w:rPr>
              <m:t>*</m:t>
            </m:r>
            <m:acc>
              <m:accPr>
                <m:chr m:val="̅"/>
                <m:ctrlPr>
                  <w:rPr>
                    <w:rFonts w:ascii="Cambria Math" w:hAnsi="Cambria Math"/>
                    <w:i/>
                    <w:color w:val="000000" w:themeColor="text1"/>
                    <w:sz w:val="28"/>
                    <w:szCs w:val="28"/>
                    <w:bdr w:val="none" w:sz="0" w:space="0" w:color="auto" w:frame="1"/>
                  </w:rPr>
                </m:ctrlPr>
              </m:accPr>
              <m:e>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rPr>
                      <m:t>Z</m:t>
                    </m:r>
                  </m:e>
                  <m:sub>
                    <m:r>
                      <w:rPr>
                        <w:rFonts w:ascii="Cambria Math" w:hAnsi="Cambria Math"/>
                        <w:color w:val="000000" w:themeColor="text1"/>
                        <w:sz w:val="28"/>
                        <w:szCs w:val="28"/>
                        <w:bdr w:val="none" w:sz="0" w:space="0" w:color="auto" w:frame="1"/>
                      </w:rPr>
                      <m:t>t+1</m:t>
                    </m:r>
                  </m:sub>
                </m:sSub>
              </m:e>
            </m:acc>
            <m:r>
              <w:rPr>
                <w:rFonts w:ascii="Cambria Math" w:hAnsi="Cambria Math"/>
                <w:color w:val="000000" w:themeColor="text1"/>
                <w:sz w:val="28"/>
                <w:szCs w:val="28"/>
                <w:bdr w:val="none" w:sz="0" w:space="0" w:color="auto" w:frame="1"/>
              </w:rPr>
              <m:t xml:space="preserve">*…* </m:t>
            </m:r>
            <m:acc>
              <m:accPr>
                <m:chr m:val="̅"/>
                <m:ctrlPr>
                  <w:rPr>
                    <w:rFonts w:ascii="Cambria Math" w:hAnsi="Cambria Math"/>
                    <w:i/>
                    <w:color w:val="000000" w:themeColor="text1"/>
                    <w:sz w:val="28"/>
                    <w:szCs w:val="28"/>
                    <w:bdr w:val="none" w:sz="0" w:space="0" w:color="auto" w:frame="1"/>
                  </w:rPr>
                </m:ctrlPr>
              </m:accPr>
              <m:e>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rPr>
                      <m:t>Z</m:t>
                    </m:r>
                  </m:e>
                  <m:sub>
                    <m:r>
                      <w:rPr>
                        <w:rFonts w:ascii="Cambria Math" w:hAnsi="Cambria Math"/>
                        <w:color w:val="000000" w:themeColor="text1"/>
                        <w:sz w:val="28"/>
                        <w:szCs w:val="28"/>
                        <w:bdr w:val="none" w:sz="0" w:space="0" w:color="auto" w:frame="1"/>
                        <w:lang w:val="en-US"/>
                      </w:rPr>
                      <m:t>t</m:t>
                    </m:r>
                    <m:r>
                      <w:rPr>
                        <w:rFonts w:ascii="Cambria Math" w:hAnsi="Cambria Math"/>
                        <w:color w:val="000000" w:themeColor="text1"/>
                        <w:sz w:val="28"/>
                        <w:szCs w:val="28"/>
                        <w:bdr w:val="none" w:sz="0" w:space="0" w:color="auto" w:frame="1"/>
                      </w:rPr>
                      <m:t>n</m:t>
                    </m:r>
                  </m:sub>
                </m:sSub>
              </m:e>
            </m:acc>
          </m:e>
        </m:rad>
      </m:oMath>
      <w:r w:rsidRPr="00B9641B">
        <w:rPr>
          <w:color w:val="000000" w:themeColor="text1"/>
          <w:sz w:val="28"/>
          <w:szCs w:val="28"/>
          <w:bdr w:val="none" w:sz="0" w:space="0" w:color="auto" w:frame="1"/>
        </w:rPr>
        <w:t xml:space="preserve">  - </w:t>
      </w:r>
      <m:oMath>
        <m:rad>
          <m:radPr>
            <m:degHide m:val="1"/>
            <m:ctrlPr>
              <w:rPr>
                <w:rFonts w:ascii="Cambria Math" w:hAnsi="Cambria Math"/>
                <w:i/>
                <w:color w:val="000000" w:themeColor="text1"/>
                <w:sz w:val="28"/>
                <w:szCs w:val="28"/>
                <w:bdr w:val="none" w:sz="0" w:space="0" w:color="auto" w:frame="1"/>
              </w:rPr>
            </m:ctrlPr>
          </m:radPr>
          <m:deg/>
          <m:e>
            <m:f>
              <m:fPr>
                <m:ctrlPr>
                  <w:rPr>
                    <w:rFonts w:ascii="Cambria Math" w:hAnsi="Cambria Math"/>
                    <w:i/>
                    <w:color w:val="000000" w:themeColor="text1"/>
                    <w:sz w:val="28"/>
                    <w:szCs w:val="28"/>
                    <w:bdr w:val="none" w:sz="0" w:space="0" w:color="auto" w:frame="1"/>
                  </w:rPr>
                </m:ctrlPr>
              </m:fPr>
              <m:num>
                <m:nary>
                  <m:naryPr>
                    <m:chr m:val="∑"/>
                    <m:limLoc m:val="undOvr"/>
                    <m:ctrlPr>
                      <w:rPr>
                        <w:rFonts w:ascii="Cambria Math" w:hAnsi="Cambria Math"/>
                        <w:i/>
                        <w:color w:val="000000" w:themeColor="text1"/>
                        <w:sz w:val="28"/>
                        <w:szCs w:val="28"/>
                        <w:bdr w:val="none" w:sz="0" w:space="0" w:color="auto" w:frame="1"/>
                      </w:rPr>
                    </m:ctrlPr>
                  </m:naryPr>
                  <m:sub>
                    <m:r>
                      <w:rPr>
                        <w:rFonts w:ascii="Cambria Math" w:hAnsi="Cambria Math"/>
                        <w:color w:val="000000" w:themeColor="text1"/>
                        <w:sz w:val="28"/>
                        <w:szCs w:val="28"/>
                        <w:bdr w:val="none" w:sz="0" w:space="0" w:color="auto" w:frame="1"/>
                      </w:rPr>
                      <m:t>i=1</m:t>
                    </m:r>
                  </m:sub>
                  <m:sup>
                    <m:r>
                      <w:rPr>
                        <w:rFonts w:ascii="Cambria Math" w:hAnsi="Cambria Math"/>
                        <w:color w:val="000000" w:themeColor="text1"/>
                        <w:sz w:val="28"/>
                        <w:szCs w:val="28"/>
                        <w:bdr w:val="none" w:sz="0" w:space="0" w:color="auto" w:frame="1"/>
                      </w:rPr>
                      <m:t>n</m:t>
                    </m:r>
                  </m:sup>
                  <m:e>
                    <m:sSup>
                      <m:sSupPr>
                        <m:ctrlPr>
                          <w:rPr>
                            <w:rFonts w:ascii="Cambria Math" w:hAnsi="Cambria Math"/>
                            <w:i/>
                            <w:color w:val="000000" w:themeColor="text1"/>
                            <w:sz w:val="28"/>
                            <w:szCs w:val="28"/>
                            <w:bdr w:val="none" w:sz="0" w:space="0" w:color="auto" w:frame="1"/>
                          </w:rPr>
                        </m:ctrlPr>
                      </m:sSupPr>
                      <m:e>
                        <m:r>
                          <w:rPr>
                            <w:rFonts w:ascii="Cambria Math" w:hAnsi="Cambria Math"/>
                            <w:color w:val="000000" w:themeColor="text1"/>
                            <w:sz w:val="28"/>
                            <w:szCs w:val="28"/>
                            <w:bdr w:val="none" w:sz="0" w:space="0" w:color="auto" w:frame="1"/>
                          </w:rPr>
                          <m:t>(</m:t>
                        </m:r>
                        <m:acc>
                          <m:accPr>
                            <m:chr m:val="̅"/>
                            <m:ctrlPr>
                              <w:rPr>
                                <w:rFonts w:ascii="Cambria Math" w:hAnsi="Cambria Math"/>
                                <w:i/>
                                <w:color w:val="000000" w:themeColor="text1"/>
                                <w:sz w:val="28"/>
                                <w:szCs w:val="28"/>
                                <w:bdr w:val="none" w:sz="0" w:space="0" w:color="auto" w:frame="1"/>
                              </w:rPr>
                            </m:ctrlPr>
                          </m:accPr>
                          <m:e>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rPr>
                                  <m:t>Z</m:t>
                                </m:r>
                              </m:e>
                              <m:sub>
                                <m:r>
                                  <w:rPr>
                                    <w:rFonts w:ascii="Cambria Math" w:hAnsi="Cambria Math"/>
                                    <w:color w:val="000000" w:themeColor="text1"/>
                                    <w:sz w:val="28"/>
                                    <w:szCs w:val="28"/>
                                    <w:bdr w:val="none" w:sz="0" w:space="0" w:color="auto" w:frame="1"/>
                                  </w:rPr>
                                  <m:t>t</m:t>
                                </m:r>
                              </m:sub>
                            </m:sSub>
                          </m:e>
                        </m:acc>
                        <m:r>
                          <w:rPr>
                            <w:rFonts w:ascii="Cambria Math" w:hAnsi="Cambria Math"/>
                            <w:color w:val="000000" w:themeColor="text1"/>
                            <w:sz w:val="28"/>
                            <w:szCs w:val="28"/>
                            <w:bdr w:val="none" w:sz="0" w:space="0" w:color="auto" w:frame="1"/>
                          </w:rPr>
                          <m:t>-</m:t>
                        </m:r>
                        <m:acc>
                          <m:accPr>
                            <m:chr m:val="̅"/>
                            <m:ctrlPr>
                              <w:rPr>
                                <w:rFonts w:ascii="Cambria Math" w:hAnsi="Cambria Math"/>
                                <w:i/>
                                <w:color w:val="000000" w:themeColor="text1"/>
                                <w:sz w:val="28"/>
                                <w:szCs w:val="28"/>
                                <w:bdr w:val="none" w:sz="0" w:space="0" w:color="auto" w:frame="1"/>
                              </w:rPr>
                            </m:ctrlPr>
                          </m:accPr>
                          <m:e>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rPr>
                                  <m:t>Z</m:t>
                                </m:r>
                              </m:e>
                              <m:sub>
                                <m:r>
                                  <w:rPr>
                                    <w:rFonts w:ascii="Cambria Math" w:hAnsi="Cambria Math"/>
                                    <w:color w:val="000000" w:themeColor="text1"/>
                                    <w:sz w:val="28"/>
                                    <w:szCs w:val="28"/>
                                    <w:bdr w:val="none" w:sz="0" w:space="0" w:color="auto" w:frame="1"/>
                                  </w:rPr>
                                  <m:t>it</m:t>
                                </m:r>
                              </m:sub>
                            </m:sSub>
                          </m:e>
                        </m:acc>
                        <m:r>
                          <w:rPr>
                            <w:rFonts w:ascii="Cambria Math" w:hAnsi="Cambria Math"/>
                            <w:color w:val="000000" w:themeColor="text1"/>
                            <w:sz w:val="28"/>
                            <w:szCs w:val="28"/>
                            <w:bdr w:val="none" w:sz="0" w:space="0" w:color="auto" w:frame="1"/>
                          </w:rPr>
                          <m:t>)</m:t>
                        </m:r>
                      </m:e>
                      <m:sup>
                        <m:r>
                          <w:rPr>
                            <w:rFonts w:ascii="Cambria Math" w:hAnsi="Cambria Math"/>
                            <w:color w:val="000000" w:themeColor="text1"/>
                            <w:sz w:val="28"/>
                            <w:szCs w:val="28"/>
                            <w:bdr w:val="none" w:sz="0" w:space="0" w:color="auto" w:frame="1"/>
                          </w:rPr>
                          <m:t>2</m:t>
                        </m:r>
                      </m:sup>
                    </m:sSup>
                  </m:e>
                </m:nary>
              </m:num>
              <m:den>
                <m:r>
                  <w:rPr>
                    <w:rFonts w:ascii="Cambria Math" w:hAnsi="Cambria Math"/>
                    <w:color w:val="000000" w:themeColor="text1"/>
                    <w:sz w:val="28"/>
                    <w:szCs w:val="28"/>
                    <w:bdr w:val="none" w:sz="0" w:space="0" w:color="auto" w:frame="1"/>
                  </w:rPr>
                  <m:t>n-1</m:t>
                </m:r>
              </m:den>
            </m:f>
          </m:e>
        </m:rad>
      </m:oMath>
      <w:r>
        <w:rPr>
          <w:color w:val="000000" w:themeColor="text1"/>
          <w:sz w:val="28"/>
          <w:szCs w:val="28"/>
          <w:bdr w:val="none" w:sz="0" w:space="0" w:color="auto" w:frame="1"/>
        </w:rPr>
        <w:tab/>
      </w:r>
      <w:r>
        <w:rPr>
          <w:color w:val="000000" w:themeColor="text1"/>
          <w:sz w:val="28"/>
          <w:szCs w:val="28"/>
          <w:bdr w:val="none" w:sz="0" w:space="0" w:color="auto" w:frame="1"/>
        </w:rPr>
        <w:tab/>
      </w:r>
      <w:r w:rsidRPr="009D5CC6">
        <w:rPr>
          <w:rFonts w:ascii="Times New Roman" w:hAnsi="Times New Roman" w:cs="Times New Roman"/>
          <w:sz w:val="24"/>
          <w:szCs w:val="24"/>
        </w:rPr>
        <w:t>(</w:t>
      </w:r>
      <w:r w:rsidRPr="009D5CC6">
        <w:rPr>
          <w:rFonts w:ascii="Times New Roman" w:hAnsi="Times New Roman" w:cs="Times New Roman"/>
          <w:sz w:val="24"/>
          <w:szCs w:val="24"/>
        </w:rPr>
        <w:t>2</w:t>
      </w:r>
      <w:r w:rsidRPr="009D5CC6">
        <w:rPr>
          <w:rFonts w:ascii="Times New Roman" w:hAnsi="Times New Roman" w:cs="Times New Roman"/>
          <w:sz w:val="24"/>
          <w:szCs w:val="24"/>
        </w:rPr>
        <w:t>)</w:t>
      </w:r>
    </w:p>
    <w:p w14:paraId="229D7F63" w14:textId="36C3901A" w:rsidR="00ED08BE" w:rsidRDefault="009D5CC6" w:rsidP="00ED08B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где</w:t>
      </w:r>
      <w:r w:rsidR="00ED08BE" w:rsidRPr="00ED08BE">
        <w:rPr>
          <w:rFonts w:ascii="Times New Roman" w:hAnsi="Times New Roman" w:cs="Times New Roman"/>
          <w:sz w:val="24"/>
          <w:szCs w:val="24"/>
        </w:rPr>
        <w:t xml:space="preserve">, </w:t>
      </w:r>
      <m:oMath>
        <m:sSub>
          <m:sSubPr>
            <m:ctrlPr>
              <w:rPr>
                <w:rFonts w:ascii="Cambria Math" w:hAnsi="Cambria Math"/>
                <w:i/>
                <w:color w:val="000000"/>
                <w:sz w:val="28"/>
                <w:szCs w:val="28"/>
                <w:bdr w:val="none" w:sz="0" w:space="0" w:color="auto" w:frame="1"/>
              </w:rPr>
            </m:ctrlPr>
          </m:sSubPr>
          <m:e>
            <m:r>
              <w:rPr>
                <w:rFonts w:ascii="Cambria Math" w:hAnsi="Cambria Math"/>
                <w:color w:val="000000"/>
                <w:sz w:val="28"/>
                <w:szCs w:val="28"/>
                <w:bdr w:val="none" w:sz="0" w:space="0" w:color="auto" w:frame="1"/>
              </w:rPr>
              <m:t>Z</m:t>
            </m:r>
          </m:e>
          <m:sub>
            <m:r>
              <w:rPr>
                <w:rFonts w:ascii="Cambria Math" w:hAnsi="Cambria Math"/>
                <w:color w:val="000000"/>
                <w:sz w:val="28"/>
                <w:szCs w:val="28"/>
                <w:bdr w:val="none" w:sz="0" w:space="0" w:color="auto" w:frame="1"/>
                <w:lang w:val="en-US"/>
              </w:rPr>
              <m:t>i</m:t>
            </m:r>
          </m:sub>
        </m:sSub>
      </m:oMath>
      <w:r w:rsidRPr="00B9641B">
        <w:rPr>
          <w:color w:val="000000"/>
          <w:sz w:val="28"/>
          <w:szCs w:val="28"/>
          <w:bdr w:val="none" w:sz="0" w:space="0" w:color="auto" w:frame="1"/>
        </w:rPr>
        <w:t xml:space="preserve"> </w:t>
      </w:r>
      <w:r w:rsidR="00ED08BE" w:rsidRPr="00ED08BE">
        <w:rPr>
          <w:rFonts w:ascii="Times New Roman" w:hAnsi="Times New Roman" w:cs="Times New Roman"/>
          <w:sz w:val="24"/>
          <w:szCs w:val="24"/>
        </w:rPr>
        <w:t>– значение Z статистики для отдельно взятого предприятия отрасли;</w:t>
      </w:r>
      <w:r>
        <w:rPr>
          <w:rFonts w:ascii="Times New Roman" w:hAnsi="Times New Roman" w:cs="Times New Roman"/>
          <w:sz w:val="24"/>
          <w:szCs w:val="24"/>
        </w:rPr>
        <w:t xml:space="preserve"> </w:t>
      </w:r>
      <m:oMath>
        <m:sSub>
          <m:sSubPr>
            <m:ctrlPr>
              <w:rPr>
                <w:rFonts w:ascii="Cambria Math" w:hAnsi="Cambria Math"/>
                <w:i/>
                <w:color w:val="000000"/>
                <w:sz w:val="28"/>
                <w:szCs w:val="28"/>
                <w:bdr w:val="none" w:sz="0" w:space="0" w:color="auto" w:frame="1"/>
              </w:rPr>
            </m:ctrlPr>
          </m:sSubPr>
          <m:e>
            <m:acc>
              <m:accPr>
                <m:chr m:val="̅"/>
                <m:ctrlPr>
                  <w:rPr>
                    <w:rFonts w:ascii="Cambria Math" w:hAnsi="Cambria Math"/>
                    <w:i/>
                    <w:color w:val="000000"/>
                    <w:sz w:val="28"/>
                    <w:szCs w:val="28"/>
                    <w:bdr w:val="none" w:sz="0" w:space="0" w:color="auto" w:frame="1"/>
                  </w:rPr>
                </m:ctrlPr>
              </m:accPr>
              <m:e>
                <m:r>
                  <w:rPr>
                    <w:rFonts w:ascii="Cambria Math" w:hAnsi="Cambria Math"/>
                    <w:color w:val="000000"/>
                    <w:sz w:val="28"/>
                    <w:szCs w:val="28"/>
                    <w:bdr w:val="none" w:sz="0" w:space="0" w:color="auto" w:frame="1"/>
                    <w:lang w:val="en-US"/>
                  </w:rPr>
                  <m:t>Z</m:t>
                </m:r>
              </m:e>
            </m:acc>
          </m:e>
          <m:sub>
            <m:r>
              <w:rPr>
                <w:rFonts w:ascii="Cambria Math" w:hAnsi="Cambria Math"/>
                <w:color w:val="000000"/>
                <w:sz w:val="28"/>
                <w:szCs w:val="28"/>
                <w:bdr w:val="none" w:sz="0" w:space="0" w:color="auto" w:frame="1"/>
              </w:rPr>
              <m:t>t</m:t>
            </m:r>
          </m:sub>
        </m:sSub>
      </m:oMath>
      <w:r w:rsidRPr="00B9641B">
        <w:rPr>
          <w:color w:val="000000"/>
          <w:sz w:val="28"/>
          <w:szCs w:val="28"/>
          <w:bdr w:val="none" w:sz="0" w:space="0" w:color="auto" w:frame="1"/>
        </w:rPr>
        <w:t xml:space="preserve"> </w:t>
      </w:r>
      <w:r w:rsidR="00ED08BE" w:rsidRPr="00ED08BE">
        <w:rPr>
          <w:rFonts w:ascii="Times New Roman" w:hAnsi="Times New Roman" w:cs="Times New Roman"/>
          <w:sz w:val="24"/>
          <w:szCs w:val="24"/>
        </w:rPr>
        <w:t>– среднегеометрическое значение Z, рассчитанное по предприятиям определенной отрасли в субъекте РФ на определенный момент времени;</w:t>
      </w:r>
      <w:r>
        <w:rPr>
          <w:rFonts w:ascii="Times New Roman" w:hAnsi="Times New Roman" w:cs="Times New Roman"/>
          <w:sz w:val="24"/>
          <w:szCs w:val="24"/>
        </w:rPr>
        <w:t xml:space="preserve"> </w:t>
      </w:r>
      <m:oMath>
        <m:sSub>
          <m:sSubPr>
            <m:ctrlPr>
              <w:rPr>
                <w:rFonts w:ascii="Cambria Math" w:hAnsi="Cambria Math"/>
                <w:i/>
                <w:color w:val="000000"/>
                <w:sz w:val="28"/>
                <w:szCs w:val="28"/>
                <w:bdr w:val="none" w:sz="0" w:space="0" w:color="auto" w:frame="1"/>
              </w:rPr>
            </m:ctrlPr>
          </m:sSubPr>
          <m:e>
            <m:acc>
              <m:accPr>
                <m:chr m:val="̅"/>
                <m:ctrlPr>
                  <w:rPr>
                    <w:rFonts w:ascii="Cambria Math" w:hAnsi="Cambria Math"/>
                    <w:i/>
                    <w:color w:val="000000"/>
                    <w:sz w:val="28"/>
                    <w:szCs w:val="28"/>
                    <w:bdr w:val="none" w:sz="0" w:space="0" w:color="auto" w:frame="1"/>
                  </w:rPr>
                </m:ctrlPr>
              </m:accPr>
              <m:e>
                <m:r>
                  <w:rPr>
                    <w:rFonts w:ascii="Cambria Math" w:hAnsi="Cambria Math"/>
                    <w:color w:val="000000"/>
                    <w:sz w:val="28"/>
                    <w:szCs w:val="28"/>
                    <w:bdr w:val="none" w:sz="0" w:space="0" w:color="auto" w:frame="1"/>
                    <w:lang w:val="en-US"/>
                  </w:rPr>
                  <m:t>Z</m:t>
                </m:r>
              </m:e>
            </m:acc>
          </m:e>
          <m:sub>
            <m:r>
              <w:rPr>
                <w:rFonts w:ascii="Cambria Math" w:hAnsi="Cambria Math"/>
                <w:color w:val="000000"/>
                <w:sz w:val="28"/>
                <w:szCs w:val="28"/>
                <w:bdr w:val="none" w:sz="0" w:space="0" w:color="auto" w:frame="1"/>
              </w:rPr>
              <m:t>i</m:t>
            </m:r>
            <m:r>
              <w:rPr>
                <w:rFonts w:ascii="Cambria Math" w:hAnsi="Cambria Math"/>
                <w:color w:val="000000"/>
                <w:sz w:val="28"/>
                <w:szCs w:val="28"/>
                <w:bdr w:val="none" w:sz="0" w:space="0" w:color="auto" w:frame="1"/>
                <w:lang w:val="en-US"/>
              </w:rPr>
              <m:t>t</m:t>
            </m:r>
          </m:sub>
        </m:sSub>
      </m:oMath>
      <w:r>
        <w:rPr>
          <w:rFonts w:ascii="Times New Roman" w:eastAsiaTheme="minorEastAsia" w:hAnsi="Times New Roman" w:cs="Times New Roman"/>
          <w:color w:val="000000"/>
          <w:sz w:val="28"/>
          <w:szCs w:val="28"/>
          <w:bdr w:val="none" w:sz="0" w:space="0" w:color="auto" w:frame="1"/>
        </w:rPr>
        <w:t xml:space="preserve"> </w:t>
      </w:r>
      <w:r w:rsidR="00ED08BE" w:rsidRPr="00ED08BE">
        <w:rPr>
          <w:rFonts w:ascii="Times New Roman" w:hAnsi="Times New Roman" w:cs="Times New Roman"/>
          <w:sz w:val="24"/>
          <w:szCs w:val="24"/>
        </w:rPr>
        <w:t>– среднегеометрическое значение Z статистики, рассчитанное по всем предприятиям отрасли промышленности в субъекте РФ за весь рассматриваемый период времени;</w:t>
      </w:r>
      <w:r>
        <w:rPr>
          <w:rFonts w:ascii="Times New Roman" w:hAnsi="Times New Roman" w:cs="Times New Roman"/>
          <w:sz w:val="24"/>
          <w:szCs w:val="24"/>
        </w:rPr>
        <w:t xml:space="preserve"> </w:t>
      </w:r>
      <m:oMath>
        <m:acc>
          <m:accPr>
            <m:chr m:val="̅"/>
            <m:ctrlPr>
              <w:rPr>
                <w:rFonts w:ascii="Cambria Math" w:hAnsi="Cambria Math"/>
                <w:i/>
                <w:color w:val="000000" w:themeColor="text1"/>
                <w:sz w:val="28"/>
                <w:szCs w:val="28"/>
                <w:bdr w:val="none" w:sz="0" w:space="0" w:color="auto" w:frame="1"/>
              </w:rPr>
            </m:ctrlPr>
          </m:accPr>
          <m:e>
            <m:sSub>
              <m:sSubPr>
                <m:ctrlPr>
                  <w:rPr>
                    <w:rFonts w:ascii="Cambria Math" w:hAnsi="Cambria Math"/>
                    <w:i/>
                    <w:color w:val="000000" w:themeColor="text1"/>
                    <w:sz w:val="28"/>
                    <w:szCs w:val="28"/>
                    <w:bdr w:val="none" w:sz="0" w:space="0" w:color="auto" w:frame="1"/>
                  </w:rPr>
                </m:ctrlPr>
              </m:sSubPr>
              <m:e>
                <m:r>
                  <w:rPr>
                    <w:rFonts w:ascii="Cambria Math" w:hAnsi="Cambria Math"/>
                    <w:color w:val="000000" w:themeColor="text1"/>
                    <w:sz w:val="28"/>
                    <w:szCs w:val="28"/>
                    <w:bdr w:val="none" w:sz="0" w:space="0" w:color="auto" w:frame="1"/>
                  </w:rPr>
                  <m:t>δ</m:t>
                </m:r>
              </m:e>
              <m:sub>
                <m:r>
                  <w:rPr>
                    <w:rFonts w:ascii="Cambria Math" w:hAnsi="Cambria Math"/>
                    <w:color w:val="000000" w:themeColor="text1"/>
                    <w:sz w:val="28"/>
                    <w:szCs w:val="28"/>
                    <w:bdr w:val="none" w:sz="0" w:space="0" w:color="auto" w:frame="1"/>
                  </w:rPr>
                  <m:t>it</m:t>
                </m:r>
              </m:sub>
            </m:sSub>
          </m:e>
        </m:acc>
      </m:oMath>
      <w:r w:rsidRPr="00B9641B">
        <w:rPr>
          <w:color w:val="000000" w:themeColor="text1"/>
          <w:sz w:val="28"/>
          <w:szCs w:val="28"/>
          <w:bdr w:val="none" w:sz="0" w:space="0" w:color="auto" w:frame="1"/>
        </w:rPr>
        <w:t xml:space="preserve"> </w:t>
      </w:r>
      <w:r w:rsidR="00ED08BE" w:rsidRPr="00ED08BE">
        <w:rPr>
          <w:rFonts w:ascii="Times New Roman" w:hAnsi="Times New Roman" w:cs="Times New Roman"/>
          <w:sz w:val="24"/>
          <w:szCs w:val="24"/>
        </w:rPr>
        <w:t>– среднее значение стандартного отклонения Z статистики по всем предприятиям отрасли в субъекте РФ за весь период времени;</w:t>
      </w:r>
      <w:r>
        <w:rPr>
          <w:rFonts w:ascii="Times New Roman" w:hAnsi="Times New Roman" w:cs="Times New Roman"/>
          <w:sz w:val="24"/>
          <w:szCs w:val="24"/>
        </w:rPr>
        <w:t xml:space="preserve"> </w:t>
      </w:r>
      <w:r w:rsidR="00ED08BE" w:rsidRPr="00ED08BE">
        <w:rPr>
          <w:rFonts w:ascii="Times New Roman" w:hAnsi="Times New Roman" w:cs="Times New Roman"/>
          <w:sz w:val="24"/>
          <w:szCs w:val="24"/>
        </w:rPr>
        <w:t>n – продолжительность временного ряда.</w:t>
      </w:r>
    </w:p>
    <w:p w14:paraId="3961035D" w14:textId="77777777" w:rsidR="009D5CC6" w:rsidRPr="00ED08BE" w:rsidRDefault="009D5CC6" w:rsidP="00ED08BE">
      <w:pPr>
        <w:spacing w:after="0" w:line="240" w:lineRule="auto"/>
        <w:ind w:firstLine="709"/>
        <w:jc w:val="both"/>
        <w:rPr>
          <w:rFonts w:ascii="Times New Roman" w:hAnsi="Times New Roman" w:cs="Times New Roman"/>
          <w:sz w:val="24"/>
          <w:szCs w:val="24"/>
        </w:rPr>
      </w:pPr>
    </w:p>
    <w:p w14:paraId="0F2CD026" w14:textId="77777777" w:rsidR="00ED08BE" w:rsidRPr="00ED08BE" w:rsidRDefault="00ED08BE" w:rsidP="00ED08BE">
      <w:pPr>
        <w:spacing w:after="0" w:line="240" w:lineRule="auto"/>
        <w:ind w:firstLine="709"/>
        <w:jc w:val="both"/>
        <w:rPr>
          <w:rFonts w:ascii="Times New Roman" w:hAnsi="Times New Roman" w:cs="Times New Roman"/>
          <w:sz w:val="24"/>
          <w:szCs w:val="24"/>
        </w:rPr>
      </w:pPr>
      <w:r w:rsidRPr="009D5CC6">
        <w:rPr>
          <w:rFonts w:ascii="Times New Roman" w:hAnsi="Times New Roman" w:cs="Times New Roman"/>
          <w:sz w:val="24"/>
          <w:szCs w:val="24"/>
        </w:rPr>
        <w:t>Повышенный</w:t>
      </w:r>
      <w:r w:rsidRPr="00ED08BE">
        <w:rPr>
          <w:rFonts w:ascii="Times New Roman" w:hAnsi="Times New Roman" w:cs="Times New Roman"/>
          <w:sz w:val="24"/>
          <w:szCs w:val="24"/>
        </w:rPr>
        <w:t xml:space="preserve"> уровень вероятности банкротства будет наблюдаться у предприятий (отраслей промышленности), у которых значение Z статистики ниже среднегеометрического уровня, рассчитанного по всем предприятиям отрасли за весь рассматриваемый период с 1999 по 2022 гг., но при этом не достигает стандартного отклонения от среднегеометрического (4).</w:t>
      </w:r>
    </w:p>
    <w:p w14:paraId="12540934" w14:textId="2159CA4D" w:rsidR="009D5CC6" w:rsidRPr="009D5CC6" w:rsidRDefault="009D5CC6" w:rsidP="00666004">
      <w:pPr>
        <w:spacing w:after="0" w:line="240" w:lineRule="auto"/>
        <w:jc w:val="right"/>
        <w:rPr>
          <w:rFonts w:ascii="Times New Roman" w:hAnsi="Times New Roman" w:cs="Times New Roman"/>
          <w:color w:val="000000" w:themeColor="text1"/>
          <w:sz w:val="28"/>
          <w:szCs w:val="28"/>
        </w:rPr>
      </w:pPr>
      <m:oMath>
        <m:acc>
          <m:accPr>
            <m:chr m:val="̅"/>
            <m:ctrlPr>
              <w:rPr>
                <w:rFonts w:ascii="Cambria Math" w:hAnsi="Cambria Math" w:cs="Times New Roman"/>
                <w:i/>
                <w:color w:val="000000" w:themeColor="text1"/>
                <w:sz w:val="28"/>
                <w:szCs w:val="28"/>
                <w:bdr w:val="none" w:sz="0" w:space="0" w:color="auto" w:frame="1"/>
              </w:rPr>
            </m:ctrlPr>
          </m:accPr>
          <m:e>
            <m:sSub>
              <m:sSubPr>
                <m:ctrlPr>
                  <w:rPr>
                    <w:rFonts w:ascii="Cambria Math" w:hAnsi="Cambria Math" w:cs="Times New Roman"/>
                    <w:i/>
                    <w:color w:val="000000" w:themeColor="text1"/>
                    <w:sz w:val="28"/>
                    <w:szCs w:val="28"/>
                    <w:bdr w:val="none" w:sz="0" w:space="0" w:color="auto" w:frame="1"/>
                  </w:rPr>
                </m:ctrlPr>
              </m:sSubPr>
              <m:e>
                <m:r>
                  <w:rPr>
                    <w:rFonts w:ascii="Cambria Math" w:hAnsi="Cambria Math" w:cs="Times New Roman"/>
                    <w:color w:val="000000" w:themeColor="text1"/>
                    <w:sz w:val="28"/>
                    <w:szCs w:val="28"/>
                    <w:bdr w:val="none" w:sz="0" w:space="0" w:color="auto" w:frame="1"/>
                  </w:rPr>
                  <m:t>Z</m:t>
                </m:r>
              </m:e>
              <m:sub>
                <m:r>
                  <w:rPr>
                    <w:rFonts w:ascii="Cambria Math" w:hAnsi="Cambria Math" w:cs="Times New Roman"/>
                    <w:color w:val="000000" w:themeColor="text1"/>
                    <w:sz w:val="28"/>
                    <w:szCs w:val="28"/>
                    <w:bdr w:val="none" w:sz="0" w:space="0" w:color="auto" w:frame="1"/>
                  </w:rPr>
                  <m:t>it</m:t>
                </m:r>
              </m:sub>
            </m:sSub>
          </m:e>
        </m:acc>
        <m:r>
          <w:rPr>
            <w:rFonts w:ascii="Cambria Math" w:hAnsi="Cambria Math" w:cs="Times New Roman"/>
            <w:color w:val="000000" w:themeColor="text1"/>
            <w:sz w:val="28"/>
            <w:szCs w:val="28"/>
          </w:rPr>
          <m:t>-</m:t>
        </m:r>
        <m:acc>
          <m:accPr>
            <m:chr m:val="̅"/>
            <m:ctrlPr>
              <w:rPr>
                <w:rFonts w:ascii="Cambria Math" w:hAnsi="Cambria Math" w:cs="Times New Roman"/>
                <w:i/>
                <w:color w:val="000000" w:themeColor="text1"/>
                <w:sz w:val="28"/>
                <w:szCs w:val="28"/>
              </w:rPr>
            </m:ctrlPr>
          </m:accPr>
          <m:e>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bdr w:val="none" w:sz="0" w:space="0" w:color="auto" w:frame="1"/>
                  </w:rPr>
                  <m:t>δ</m:t>
                </m:r>
              </m:e>
              <m:sub>
                <m:r>
                  <w:rPr>
                    <w:rFonts w:ascii="Cambria Math" w:hAnsi="Cambria Math" w:cs="Times New Roman"/>
                    <w:color w:val="000000" w:themeColor="text1"/>
                    <w:sz w:val="28"/>
                    <w:szCs w:val="28"/>
                  </w:rPr>
                  <m:t>it</m:t>
                </m:r>
              </m:sub>
            </m:sSub>
          </m:e>
        </m:acc>
        <m:r>
          <w:rPr>
            <w:rFonts w:ascii="Cambria Math" w:hAnsi="Cambria Math" w:cs="Times New Roman"/>
            <w:color w:val="000000" w:themeColor="text1"/>
            <w:sz w:val="28"/>
            <w:szCs w:val="28"/>
          </w:rPr>
          <m:t>&lt;</m:t>
        </m:r>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Z</m:t>
            </m:r>
          </m:e>
          <m:sub>
            <m:r>
              <w:rPr>
                <w:rFonts w:ascii="Cambria Math" w:hAnsi="Cambria Math" w:cs="Times New Roman"/>
                <w:color w:val="000000" w:themeColor="text1"/>
                <w:sz w:val="28"/>
                <w:szCs w:val="28"/>
              </w:rPr>
              <m:t>i</m:t>
            </m:r>
          </m:sub>
        </m:sSub>
        <m:r>
          <w:rPr>
            <w:rFonts w:ascii="Cambria Math" w:hAnsi="Cambria Math" w:cs="Times New Roman"/>
            <w:color w:val="000000" w:themeColor="text1"/>
            <w:sz w:val="28"/>
            <w:szCs w:val="28"/>
          </w:rPr>
          <m:t>&lt;</m:t>
        </m:r>
        <m:acc>
          <m:accPr>
            <m:chr m:val="̅"/>
            <m:ctrlPr>
              <w:rPr>
                <w:rFonts w:ascii="Cambria Math" w:hAnsi="Cambria Math" w:cs="Times New Roman"/>
                <w:color w:val="000000" w:themeColor="text1"/>
                <w:sz w:val="28"/>
                <w:szCs w:val="28"/>
              </w:rPr>
            </m:ctrlPr>
          </m:accPr>
          <m:e>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en-US"/>
                  </w:rPr>
                  <m:t>Z</m:t>
                </m:r>
              </m:e>
              <m:sub>
                <m:r>
                  <w:rPr>
                    <w:rFonts w:ascii="Cambria Math" w:hAnsi="Cambria Math" w:cs="Times New Roman"/>
                    <w:color w:val="000000" w:themeColor="text1"/>
                    <w:sz w:val="28"/>
                    <w:szCs w:val="28"/>
                    <w:lang w:val="en-US"/>
                  </w:rPr>
                  <m:t>it</m:t>
                </m:r>
              </m:sub>
            </m:sSub>
          </m:e>
        </m:acc>
        <m:r>
          <w:rPr>
            <w:rFonts w:ascii="Cambria Math" w:hAnsi="Cambria Math" w:cs="Times New Roman"/>
            <w:color w:val="000000" w:themeColor="text1"/>
            <w:sz w:val="28"/>
            <w:szCs w:val="28"/>
          </w:rPr>
          <m:t xml:space="preserve"> </m:t>
        </m:r>
      </m:oMath>
      <w:r w:rsidRPr="009D5CC6">
        <w:rPr>
          <w:rFonts w:ascii="Times New Roman" w:hAnsi="Times New Roman" w:cs="Times New Roman"/>
          <w:color w:val="000000" w:themeColor="text1"/>
          <w:sz w:val="28"/>
          <w:szCs w:val="28"/>
        </w:rPr>
        <w:t>,</w:t>
      </w:r>
      <w:r w:rsidRPr="009D5CC6">
        <w:rPr>
          <w:rFonts w:ascii="Times New Roman" w:hAnsi="Times New Roman" w:cs="Times New Roman"/>
          <w:color w:val="000000" w:themeColor="text1"/>
          <w:sz w:val="28"/>
          <w:szCs w:val="28"/>
        </w:rPr>
        <w:tab/>
      </w:r>
      <w:r w:rsidRPr="009D5CC6">
        <w:rPr>
          <w:rFonts w:ascii="Times New Roman" w:hAnsi="Times New Roman" w:cs="Times New Roman"/>
          <w:color w:val="000000" w:themeColor="text1"/>
          <w:sz w:val="28"/>
          <w:szCs w:val="28"/>
        </w:rPr>
        <w:tab/>
      </w:r>
      <w:r w:rsidRPr="009D5CC6">
        <w:rPr>
          <w:rFonts w:ascii="Times New Roman" w:hAnsi="Times New Roman" w:cs="Times New Roman"/>
          <w:color w:val="000000" w:themeColor="text1"/>
          <w:sz w:val="28"/>
          <w:szCs w:val="28"/>
        </w:rPr>
        <w:tab/>
      </w:r>
      <w:r w:rsidRPr="009D5CC6">
        <w:rPr>
          <w:rFonts w:ascii="Times New Roman" w:hAnsi="Times New Roman" w:cs="Times New Roman"/>
          <w:color w:val="000000" w:themeColor="text1"/>
          <w:sz w:val="28"/>
          <w:szCs w:val="28"/>
        </w:rPr>
        <w:tab/>
      </w:r>
      <w:r w:rsidRPr="009D5CC6">
        <w:rPr>
          <w:rFonts w:ascii="Times New Roman" w:hAnsi="Times New Roman" w:cs="Times New Roman"/>
          <w:color w:val="000000" w:themeColor="text1"/>
          <w:sz w:val="28"/>
          <w:szCs w:val="28"/>
        </w:rPr>
        <w:tab/>
      </w:r>
      <w:r w:rsidRPr="009D5CC6">
        <w:rPr>
          <w:rFonts w:ascii="Times New Roman" w:hAnsi="Times New Roman" w:cs="Times New Roman"/>
          <w:sz w:val="24"/>
          <w:szCs w:val="24"/>
        </w:rPr>
        <w:t>(</w:t>
      </w:r>
      <w:r w:rsidRPr="009D5CC6">
        <w:rPr>
          <w:rFonts w:ascii="Times New Roman" w:hAnsi="Times New Roman" w:cs="Times New Roman"/>
          <w:sz w:val="24"/>
          <w:szCs w:val="24"/>
        </w:rPr>
        <w:t>3</w:t>
      </w:r>
      <w:r w:rsidRPr="009D5CC6">
        <w:rPr>
          <w:rFonts w:ascii="Times New Roman" w:hAnsi="Times New Roman" w:cs="Times New Roman"/>
          <w:sz w:val="24"/>
          <w:szCs w:val="24"/>
        </w:rPr>
        <w:t>)</w:t>
      </w:r>
    </w:p>
    <w:p w14:paraId="5A96777F" w14:textId="1133D7F8" w:rsidR="00ED08BE" w:rsidRPr="009D5CC6" w:rsidRDefault="00ED08BE" w:rsidP="00ED08BE">
      <w:pPr>
        <w:spacing w:after="0" w:line="240" w:lineRule="auto"/>
        <w:ind w:firstLine="709"/>
        <w:jc w:val="both"/>
        <w:rPr>
          <w:rFonts w:ascii="Times New Roman" w:hAnsi="Times New Roman" w:cs="Times New Roman"/>
          <w:sz w:val="24"/>
          <w:szCs w:val="24"/>
        </w:rPr>
      </w:pPr>
      <w:r w:rsidRPr="009D5CC6">
        <w:rPr>
          <w:rFonts w:ascii="Times New Roman" w:hAnsi="Times New Roman" w:cs="Times New Roman"/>
          <w:sz w:val="24"/>
          <w:szCs w:val="24"/>
        </w:rPr>
        <w:t xml:space="preserve">Умеренный уровень вероятности банкротства предприятий будет наблюдаться при значениях Z статистики, приближенных к среднегеометрическому уровню </w:t>
      </w:r>
      <w:r w:rsidR="009D5CC6" w:rsidRPr="00B9641B">
        <w:rPr>
          <w:color w:val="000000" w:themeColor="text1"/>
          <w:sz w:val="28"/>
          <w:szCs w:val="28"/>
          <w:bdr w:val="none" w:sz="0" w:space="0" w:color="auto" w:frame="1"/>
        </w:rPr>
        <w:t>(</w:t>
      </w:r>
      <m:oMath>
        <m:acc>
          <m:accPr>
            <m:chr m:val="̅"/>
            <m:ctrlPr>
              <w:rPr>
                <w:rFonts w:ascii="Cambria Math" w:hAnsi="Cambria Math"/>
                <w:color w:val="000000" w:themeColor="text1"/>
                <w:sz w:val="28"/>
                <w:szCs w:val="28"/>
              </w:rPr>
            </m:ctrlPr>
          </m:accPr>
          <m:e>
            <m:sSub>
              <m:sSubPr>
                <m:ctrlPr>
                  <w:rPr>
                    <w:rFonts w:ascii="Cambria Math" w:hAnsi="Cambria Math"/>
                    <w:i/>
                    <w:color w:val="000000" w:themeColor="text1"/>
                    <w:sz w:val="28"/>
                    <w:szCs w:val="28"/>
                    <w:lang w:val="en-US"/>
                  </w:rPr>
                </m:ctrlPr>
              </m:sSubPr>
              <m:e>
                <m:r>
                  <w:rPr>
                    <w:rFonts w:ascii="Cambria Math" w:hAnsi="Cambria Math"/>
                    <w:color w:val="000000" w:themeColor="text1"/>
                    <w:sz w:val="28"/>
                    <w:szCs w:val="28"/>
                    <w:lang w:val="en-US"/>
                  </w:rPr>
                  <m:t>Z</m:t>
                </m:r>
              </m:e>
              <m:sub>
                <m:r>
                  <w:rPr>
                    <w:rFonts w:ascii="Cambria Math" w:hAnsi="Cambria Math"/>
                    <w:color w:val="000000" w:themeColor="text1"/>
                    <w:sz w:val="28"/>
                    <w:szCs w:val="28"/>
                    <w:lang w:val="en-US"/>
                  </w:rPr>
                  <m:t>it</m:t>
                </m:r>
              </m:sub>
            </m:sSub>
          </m:e>
        </m:acc>
      </m:oMath>
      <w:r w:rsidR="009D5CC6" w:rsidRPr="00B9641B">
        <w:rPr>
          <w:color w:val="000000" w:themeColor="text1"/>
          <w:sz w:val="28"/>
          <w:szCs w:val="28"/>
          <w:bdr w:val="none" w:sz="0" w:space="0" w:color="auto" w:frame="1"/>
        </w:rPr>
        <w:t xml:space="preserve">), </w:t>
      </w:r>
      <w:r w:rsidRPr="009D5CC6">
        <w:rPr>
          <w:rFonts w:ascii="Times New Roman" w:hAnsi="Times New Roman" w:cs="Times New Roman"/>
          <w:sz w:val="24"/>
          <w:szCs w:val="24"/>
        </w:rPr>
        <w:t>а значения, превышающие его будут свидетельствовать о нормальной финансовой устойчивости отраслей промышленности, о низком уровне вероятности их банкротства (рис. 1).</w:t>
      </w:r>
    </w:p>
    <w:p w14:paraId="59732A63" w14:textId="395E309D" w:rsidR="00ED08BE" w:rsidRPr="00ED08BE" w:rsidRDefault="009D5CC6" w:rsidP="009D5CC6">
      <w:pPr>
        <w:spacing w:after="0" w:line="240" w:lineRule="auto"/>
        <w:jc w:val="center"/>
        <w:rPr>
          <w:rFonts w:ascii="Times New Roman" w:hAnsi="Times New Roman" w:cs="Times New Roman"/>
          <w:sz w:val="24"/>
          <w:szCs w:val="24"/>
        </w:rPr>
      </w:pPr>
      <w:r>
        <w:rPr>
          <w:noProof/>
          <w:color w:val="000000" w:themeColor="text1"/>
          <w:bdr w:val="none" w:sz="0" w:space="0" w:color="auto" w:frame="1"/>
        </w:rPr>
        <w:drawing>
          <wp:inline distT="0" distB="0" distL="0" distR="0" wp14:anchorId="13C20636" wp14:editId="264D8F9C">
            <wp:extent cx="3395207" cy="1706007"/>
            <wp:effectExtent l="0" t="0" r="0" b="8890"/>
            <wp:docPr id="162171149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711491" name="Рисунок 1621711491"/>
                    <pic:cNvPicPr/>
                  </pic:nvPicPr>
                  <pic:blipFill>
                    <a:blip r:embed="rId7">
                      <a:extLst>
                        <a:ext uri="{28A0092B-C50C-407E-A947-70E740481C1C}">
                          <a14:useLocalDpi xmlns:a14="http://schemas.microsoft.com/office/drawing/2010/main" val="0"/>
                        </a:ext>
                      </a:extLst>
                    </a:blip>
                    <a:stretch>
                      <a:fillRect/>
                    </a:stretch>
                  </pic:blipFill>
                  <pic:spPr>
                    <a:xfrm>
                      <a:off x="0" y="0"/>
                      <a:ext cx="3433520" cy="1725258"/>
                    </a:xfrm>
                    <a:prstGeom prst="rect">
                      <a:avLst/>
                    </a:prstGeom>
                  </pic:spPr>
                </pic:pic>
              </a:graphicData>
            </a:graphic>
          </wp:inline>
        </w:drawing>
      </w:r>
    </w:p>
    <w:p w14:paraId="322DFD58" w14:textId="24095E7B" w:rsidR="00ED08BE" w:rsidRPr="009D5CC6" w:rsidRDefault="00ED08BE" w:rsidP="009D5CC6">
      <w:pPr>
        <w:spacing w:after="0" w:line="240" w:lineRule="auto"/>
        <w:jc w:val="center"/>
        <w:rPr>
          <w:rFonts w:ascii="Times New Roman" w:hAnsi="Times New Roman" w:cs="Times New Roman"/>
          <w:sz w:val="24"/>
          <w:szCs w:val="24"/>
        </w:rPr>
      </w:pPr>
      <w:proofErr w:type="spellStart"/>
      <w:r w:rsidRPr="009D5CC6">
        <w:rPr>
          <w:rFonts w:ascii="Times New Roman" w:hAnsi="Times New Roman" w:cs="Times New Roman"/>
          <w:sz w:val="24"/>
          <w:szCs w:val="24"/>
        </w:rPr>
        <w:t>Рис</w:t>
      </w:r>
      <w:proofErr w:type="spellEnd"/>
      <w:r w:rsidRPr="009D5CC6">
        <w:rPr>
          <w:rFonts w:ascii="Times New Roman" w:hAnsi="Times New Roman" w:cs="Times New Roman"/>
          <w:sz w:val="24"/>
          <w:szCs w:val="24"/>
        </w:rPr>
        <w:t>. 1</w:t>
      </w:r>
      <w:r w:rsidR="009D5CC6">
        <w:rPr>
          <w:rFonts w:ascii="Times New Roman" w:hAnsi="Times New Roman" w:cs="Times New Roman"/>
          <w:sz w:val="24"/>
          <w:szCs w:val="24"/>
        </w:rPr>
        <w:t>.</w:t>
      </w:r>
      <w:r w:rsidRPr="009D5CC6">
        <w:rPr>
          <w:rFonts w:ascii="Times New Roman" w:hAnsi="Times New Roman" w:cs="Times New Roman"/>
          <w:sz w:val="24"/>
          <w:szCs w:val="24"/>
        </w:rPr>
        <w:t xml:space="preserve"> </w:t>
      </w:r>
      <w:r w:rsidRPr="009D5CC6">
        <w:rPr>
          <w:rFonts w:ascii="Times New Roman" w:hAnsi="Times New Roman" w:cs="Times New Roman"/>
          <w:b/>
          <w:bCs/>
          <w:sz w:val="24"/>
          <w:szCs w:val="24"/>
        </w:rPr>
        <w:t>Зоны вероятности банкротства отраслей промышленности</w:t>
      </w:r>
    </w:p>
    <w:p w14:paraId="6C7A30C7" w14:textId="77777777" w:rsidR="00ED08BE" w:rsidRPr="00ED08BE" w:rsidRDefault="00ED08BE" w:rsidP="00ED08BE">
      <w:pPr>
        <w:spacing w:after="0" w:line="240" w:lineRule="auto"/>
        <w:ind w:firstLine="709"/>
        <w:jc w:val="both"/>
        <w:rPr>
          <w:rFonts w:ascii="Times New Roman" w:hAnsi="Times New Roman" w:cs="Times New Roman"/>
          <w:sz w:val="24"/>
          <w:szCs w:val="24"/>
          <w:lang w:val="en-US"/>
        </w:rPr>
      </w:pPr>
    </w:p>
    <w:p w14:paraId="107E6B7A" w14:textId="33F33BB6" w:rsidR="00ED08BE" w:rsidRPr="009D5CC6" w:rsidRDefault="00ED08BE" w:rsidP="00ED08BE">
      <w:pPr>
        <w:spacing w:after="0" w:line="240" w:lineRule="auto"/>
        <w:ind w:firstLine="709"/>
        <w:jc w:val="both"/>
        <w:rPr>
          <w:rFonts w:ascii="Times New Roman" w:hAnsi="Times New Roman" w:cs="Times New Roman"/>
          <w:sz w:val="24"/>
          <w:szCs w:val="24"/>
        </w:rPr>
      </w:pPr>
      <w:r w:rsidRPr="009D5CC6">
        <w:rPr>
          <w:rFonts w:ascii="Times New Roman" w:hAnsi="Times New Roman" w:cs="Times New Roman"/>
          <w:sz w:val="24"/>
          <w:szCs w:val="24"/>
        </w:rPr>
        <w:t xml:space="preserve">По традиционной методике Э. Альтмана в качестве такого уровня для производственных предприятий использовалось значение 1,8. В представляемом же методическом подходе данный уровень предполагается рассчитываться индивидуально для каждой отрасли промышленности. Пониженный уровень вероятности банкротства отраслей промышленности, согласно предлагаемому подходу, будет определяться в диапазоне значений от среднегеометрического уровня, рассчитанного по всем предприятиям рассматриваемой отрасли промышленности за период с 1999 по 2022 гг., до верхней границы разброса значений, определяемых с использованием стандартного отклонения. Значения, превышающие данную границу, свидетельствуют о низкой вероятности банкротства предприятий отрасли. Методика Э. Альтмана является менее чувствительной к оценке финансовой состоятельности предприятий, не предполагает выделение повышенного и пониженного уровня вероятности ее потери. Согласно традиционной методике, все предприятия, обладающие значениями Z статистики выше среднего уровня, относятся к финансово устойчивым, а предприятия, отличающиеся значениями ниже среднего уровня, включая отрицательные – к финансово несостоятельным, с высоким уровнем вероятности </w:t>
      </w:r>
      <w:r w:rsidRPr="009D5CC6">
        <w:rPr>
          <w:rFonts w:ascii="Times New Roman" w:hAnsi="Times New Roman" w:cs="Times New Roman"/>
          <w:sz w:val="24"/>
          <w:szCs w:val="24"/>
        </w:rPr>
        <w:lastRenderedPageBreak/>
        <w:t>банкротства. Такой подход не позволяет детальн</w:t>
      </w:r>
      <w:r w:rsidRPr="009D5CC6">
        <w:rPr>
          <w:rFonts w:ascii="Times New Roman" w:hAnsi="Times New Roman" w:cs="Times New Roman"/>
          <w:sz w:val="24"/>
          <w:szCs w:val="24"/>
        </w:rPr>
        <w:t>о</w:t>
      </w:r>
      <w:r w:rsidRPr="009D5CC6">
        <w:rPr>
          <w:rFonts w:ascii="Times New Roman" w:hAnsi="Times New Roman" w:cs="Times New Roman"/>
          <w:sz w:val="24"/>
          <w:szCs w:val="24"/>
        </w:rPr>
        <w:t xml:space="preserve"> исследовать риски банкротства предприятий. Предлагаемый же в работе методический подход позволяет более корректно подойти к оценке финансовой состоятельности предприятий – учесть их размер, отраслевую специфику, дифференцированность уровней вероятности и</w:t>
      </w:r>
      <w:r w:rsidRPr="009D5CC6">
        <w:rPr>
          <w:rFonts w:ascii="Times New Roman" w:hAnsi="Times New Roman" w:cs="Times New Roman"/>
          <w:sz w:val="24"/>
          <w:szCs w:val="24"/>
        </w:rPr>
        <w:t xml:space="preserve">х </w:t>
      </w:r>
      <w:r w:rsidRPr="009D5CC6">
        <w:rPr>
          <w:rFonts w:ascii="Times New Roman" w:hAnsi="Times New Roman" w:cs="Times New Roman"/>
          <w:sz w:val="24"/>
          <w:szCs w:val="24"/>
        </w:rPr>
        <w:t>банкротства. Значительным преимуществом такого подхода является уход от субъективного выбора пороговых значений при оценке финансовой состоятельности предприятий и отраслей промышленности, расчет индивидуальных пороговых значений для каждой отрасли в регионе исходя из той динамики, которая наблюдалась в течении длительного периода времени. Расчет и оценка Z статистик не отдельно взятых предприятий, а целой их совокупности с учетом размера позволит детально исследовать риски банкротства отраслей промышленности в регионе. Преимуществом предложенного методического подхода является и то, что оценка вероятности банкротства отраслей промышленности осуществляется в динамике за продолжительный период времени, тогда как традиционный многомерный дискриминантный анализ осуществляется на определенный момент времени. Динамический анализ позволит выявить особенности изменения вероятности банкротства отраслей промышленности в различные периоды экономического развития, включая экономические спады и кризисы, периоды восстановления экономики, а также установить отрасли, наиболее подверженные рискам банкротства.</w:t>
      </w:r>
    </w:p>
    <w:p w14:paraId="067020A5" w14:textId="4B356939" w:rsidR="001A6BB2" w:rsidRPr="001A6BB2" w:rsidRDefault="001A6BB2" w:rsidP="001A6BB2">
      <w:pPr>
        <w:spacing w:after="0" w:line="240" w:lineRule="auto"/>
        <w:ind w:firstLine="709"/>
        <w:jc w:val="both"/>
        <w:rPr>
          <w:rFonts w:ascii="Times New Roman" w:hAnsi="Times New Roman" w:cs="Times New Roman"/>
          <w:sz w:val="24"/>
          <w:szCs w:val="24"/>
        </w:rPr>
      </w:pPr>
      <w:r w:rsidRPr="001A6BB2">
        <w:rPr>
          <w:rFonts w:ascii="Times New Roman" w:hAnsi="Times New Roman" w:cs="Times New Roman"/>
          <w:sz w:val="24"/>
          <w:szCs w:val="24"/>
        </w:rPr>
        <w:t>Пространственные особенности размещения предприятий также важны в оценке перспектив банкротства отраслей промышленности. И отчасти предлагаемый в работе подход учитывает их при расчете индивидуальных для каждой отрасли пороговых значений вероятности банкротства предприятий. Очевидно, что в каждой территориальной системе значения Z статистики у предприятий одной и той же отрасли промышленности будут отличаться, а значит, будут отличаться и пороговые значения вероятности банкротства предприятий в разных территориальных системах. Пространственные особенности размещения предприятий наиболее полно раскрываются при оценке перспектив банкротства всего промышленного комплекса территориальной системы. Каждая территория уникальна и отличается своей неповторимой отраслевой структурой промышленности. И корректировка рассчитанных Z значений вероятности банкротства отраслей промышленности на их удельный вес в отраслевой структуре территории позволила бы учесть пространственные особенности развития промышленного комплекса (</w:t>
      </w:r>
      <w:r>
        <w:rPr>
          <w:rFonts w:ascii="Times New Roman" w:hAnsi="Times New Roman" w:cs="Times New Roman"/>
          <w:sz w:val="24"/>
          <w:szCs w:val="24"/>
        </w:rPr>
        <w:t>4</w:t>
      </w:r>
      <w:r w:rsidRPr="001A6BB2">
        <w:rPr>
          <w:rFonts w:ascii="Times New Roman" w:hAnsi="Times New Roman" w:cs="Times New Roman"/>
          <w:sz w:val="24"/>
          <w:szCs w:val="24"/>
        </w:rPr>
        <w:t>):</w:t>
      </w:r>
    </w:p>
    <w:p w14:paraId="6D6BB16C" w14:textId="55101BB5" w:rsidR="001A6BB2" w:rsidRPr="001A6BB2" w:rsidRDefault="001A6BB2" w:rsidP="00666004">
      <w:pPr>
        <w:autoSpaceDE w:val="0"/>
        <w:autoSpaceDN w:val="0"/>
        <w:adjustRightInd w:val="0"/>
        <w:spacing w:after="0" w:line="240" w:lineRule="auto"/>
        <w:jc w:val="right"/>
        <w:rPr>
          <w:rFonts w:ascii="Calibri" w:hAnsi="Calibri" w:cs="Calibri"/>
          <w:color w:val="000000"/>
          <w:sz w:val="28"/>
          <w:szCs w:val="28"/>
        </w:rPr>
      </w:pPr>
      <m:oMath>
        <m:acc>
          <m:accPr>
            <m:chr m:val="̅"/>
            <m:ctrlPr>
              <w:rPr>
                <w:rFonts w:ascii="Cambria Math" w:hAnsi="Cambria Math" w:cs="Calibri"/>
                <w:i/>
                <w:color w:val="000000"/>
                <w:sz w:val="28"/>
                <w:szCs w:val="28"/>
              </w:rPr>
            </m:ctrlPr>
          </m:accPr>
          <m:e>
            <m:r>
              <w:rPr>
                <w:rFonts w:ascii="Cambria Math" w:hAnsi="Cambria Math" w:cs="Calibri"/>
                <w:color w:val="000000"/>
                <w:sz w:val="28"/>
                <w:szCs w:val="28"/>
                <w:lang w:val="en-US"/>
              </w:rPr>
              <m:t>Z</m:t>
            </m:r>
          </m:e>
        </m:acc>
        <m:r>
          <w:rPr>
            <w:rFonts w:ascii="Cambria Math" w:hAnsi="Cambria Math" w:cs="Calibri"/>
            <w:color w:val="000000"/>
            <w:sz w:val="28"/>
            <w:szCs w:val="28"/>
          </w:rPr>
          <m:t>=</m:t>
        </m:r>
        <m:acc>
          <m:accPr>
            <m:chr m:val="̅"/>
            <m:ctrlPr>
              <w:rPr>
                <w:rFonts w:ascii="Cambria Math" w:hAnsi="Cambria Math"/>
                <w:i/>
                <w:color w:val="000000"/>
                <w:sz w:val="28"/>
                <w:szCs w:val="28"/>
              </w:rPr>
            </m:ctrlPr>
          </m:accPr>
          <m:e>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i</m:t>
                </m:r>
              </m:sub>
            </m:sSub>
          </m:e>
        </m:acc>
        <m:r>
          <w:rPr>
            <w:rFonts w:ascii="Cambria Math" w:hAnsi="Cambria Math"/>
            <w:color w:val="000000"/>
            <w:sz w:val="28"/>
            <w:szCs w:val="28"/>
          </w:rPr>
          <m:t>∙</m:t>
        </m:r>
        <m:acc>
          <m:accPr>
            <m:chr m:val="̅"/>
            <m:ctrlPr>
              <w:rPr>
                <w:rFonts w:ascii="Cambria Math" w:hAnsi="Cambria Math"/>
                <w:i/>
                <w:color w:val="000000"/>
                <w:sz w:val="28"/>
                <w:szCs w:val="28"/>
              </w:rPr>
            </m:ctrlPr>
          </m:accPr>
          <m:e>
            <m:sSub>
              <m:sSubPr>
                <m:ctrlPr>
                  <w:rPr>
                    <w:rFonts w:ascii="Cambria Math" w:hAnsi="Cambria Math"/>
                    <w:i/>
                    <w:color w:val="000000"/>
                    <w:sz w:val="28"/>
                    <w:szCs w:val="28"/>
                  </w:rPr>
                </m:ctrlPr>
              </m:sSubPr>
              <m:e>
                <m:r>
                  <w:rPr>
                    <w:rFonts w:ascii="Cambria Math" w:hAnsi="Cambria Math"/>
                    <w:color w:val="000000"/>
                    <w:sz w:val="28"/>
                    <w:szCs w:val="28"/>
                  </w:rPr>
                  <m:t>Z</m:t>
                </m:r>
              </m:e>
              <m:sub>
                <m:r>
                  <w:rPr>
                    <w:rFonts w:ascii="Cambria Math" w:hAnsi="Cambria Math"/>
                    <w:color w:val="000000"/>
                    <w:sz w:val="28"/>
                    <w:szCs w:val="28"/>
                  </w:rPr>
                  <m:t>i</m:t>
                </m:r>
              </m:sub>
            </m:sSub>
          </m:e>
        </m:acc>
        <m:r>
          <w:rPr>
            <w:rFonts w:ascii="Cambria Math" w:hAnsi="Cambria Math"/>
            <w:color w:val="000000"/>
            <w:sz w:val="28"/>
            <w:szCs w:val="28"/>
          </w:rPr>
          <m:t>+…+</m:t>
        </m:r>
        <m:acc>
          <m:accPr>
            <m:chr m:val="̅"/>
            <m:ctrlPr>
              <w:rPr>
                <w:rFonts w:ascii="Cambria Math" w:hAnsi="Cambria Math"/>
                <w:i/>
                <w:color w:val="000000"/>
                <w:sz w:val="28"/>
                <w:szCs w:val="28"/>
              </w:rPr>
            </m:ctrlPr>
          </m:accPr>
          <m:e>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i</m:t>
                </m:r>
                <m:r>
                  <w:rPr>
                    <w:rFonts w:ascii="Cambria Math" w:hAnsi="Cambria Math"/>
                    <w:color w:val="000000"/>
                    <w:sz w:val="28"/>
                    <w:szCs w:val="28"/>
                    <w:lang w:val="en-US"/>
                  </w:rPr>
                  <m:t>n</m:t>
                </m:r>
              </m:sub>
            </m:sSub>
          </m:e>
        </m:acc>
        <m:r>
          <w:rPr>
            <w:rFonts w:ascii="Cambria Math" w:hAnsi="Cambria Math"/>
            <w:color w:val="000000"/>
            <w:sz w:val="28"/>
            <w:szCs w:val="28"/>
          </w:rPr>
          <m:t>∙</m:t>
        </m:r>
        <m:acc>
          <m:accPr>
            <m:chr m:val="̅"/>
            <m:ctrlPr>
              <w:rPr>
                <w:rFonts w:ascii="Cambria Math" w:hAnsi="Cambria Math"/>
                <w:i/>
                <w:color w:val="000000"/>
                <w:sz w:val="28"/>
                <w:szCs w:val="28"/>
              </w:rPr>
            </m:ctrlPr>
          </m:accPr>
          <m:e>
            <m:sSub>
              <m:sSubPr>
                <m:ctrlPr>
                  <w:rPr>
                    <w:rFonts w:ascii="Cambria Math" w:hAnsi="Cambria Math"/>
                    <w:i/>
                    <w:color w:val="000000"/>
                    <w:sz w:val="28"/>
                    <w:szCs w:val="28"/>
                  </w:rPr>
                </m:ctrlPr>
              </m:sSubPr>
              <m:e>
                <m:r>
                  <w:rPr>
                    <w:rFonts w:ascii="Cambria Math" w:hAnsi="Cambria Math"/>
                    <w:color w:val="000000"/>
                    <w:sz w:val="28"/>
                    <w:szCs w:val="28"/>
                  </w:rPr>
                  <m:t>Z</m:t>
                </m:r>
              </m:e>
              <m:sub>
                <m:r>
                  <w:rPr>
                    <w:rFonts w:ascii="Cambria Math" w:hAnsi="Cambria Math"/>
                    <w:color w:val="000000"/>
                    <w:sz w:val="28"/>
                    <w:szCs w:val="28"/>
                  </w:rPr>
                  <m:t>n</m:t>
                </m:r>
              </m:sub>
            </m:sSub>
          </m:e>
        </m:acc>
      </m:oMath>
      <w:r>
        <w:rPr>
          <w:rFonts w:ascii="Calibri" w:hAnsi="Calibri" w:cs="Calibri"/>
          <w:color w:val="000000"/>
          <w:sz w:val="28"/>
          <w:szCs w:val="28"/>
        </w:rPr>
        <w:tab/>
      </w:r>
      <w:r>
        <w:rPr>
          <w:rFonts w:ascii="Calibri" w:hAnsi="Calibri" w:cs="Calibri"/>
          <w:color w:val="000000"/>
          <w:sz w:val="28"/>
          <w:szCs w:val="28"/>
        </w:rPr>
        <w:tab/>
      </w:r>
      <w:r w:rsidRPr="00E7239B">
        <w:rPr>
          <w:i/>
          <w:iCs/>
          <w:color w:val="000000"/>
          <w:sz w:val="28"/>
          <w:szCs w:val="28"/>
        </w:rPr>
        <w:tab/>
      </w:r>
      <w:r w:rsidRPr="00E7239B">
        <w:rPr>
          <w:i/>
          <w:iCs/>
          <w:color w:val="000000"/>
          <w:sz w:val="28"/>
          <w:szCs w:val="28"/>
        </w:rPr>
        <w:tab/>
      </w:r>
      <w:r w:rsidRPr="009D5CC6">
        <w:rPr>
          <w:rFonts w:ascii="Times New Roman" w:hAnsi="Times New Roman" w:cs="Times New Roman"/>
          <w:sz w:val="24"/>
          <w:szCs w:val="24"/>
        </w:rPr>
        <w:t>(</w:t>
      </w:r>
      <w:r>
        <w:rPr>
          <w:rFonts w:ascii="Times New Roman" w:hAnsi="Times New Roman" w:cs="Times New Roman"/>
          <w:sz w:val="24"/>
          <w:szCs w:val="24"/>
        </w:rPr>
        <w:t>4</w:t>
      </w:r>
      <w:r w:rsidRPr="009D5CC6">
        <w:rPr>
          <w:rFonts w:ascii="Times New Roman" w:hAnsi="Times New Roman" w:cs="Times New Roman"/>
          <w:sz w:val="24"/>
          <w:szCs w:val="24"/>
        </w:rPr>
        <w:t>)</w:t>
      </w:r>
    </w:p>
    <w:p w14:paraId="760DB67E" w14:textId="12D38D93" w:rsidR="001A6BB2" w:rsidRPr="001A6BB2" w:rsidRDefault="001A6BB2" w:rsidP="001A6BB2">
      <w:pPr>
        <w:spacing w:after="0" w:line="240" w:lineRule="auto"/>
        <w:ind w:firstLine="709"/>
        <w:jc w:val="both"/>
        <w:rPr>
          <w:rFonts w:ascii="Times New Roman" w:hAnsi="Times New Roman" w:cs="Times New Roman"/>
          <w:sz w:val="24"/>
          <w:szCs w:val="24"/>
        </w:rPr>
      </w:pPr>
      <w:r w:rsidRPr="001A6BB2">
        <w:rPr>
          <w:rFonts w:ascii="Times New Roman" w:hAnsi="Times New Roman" w:cs="Times New Roman"/>
          <w:sz w:val="24"/>
          <w:szCs w:val="24"/>
        </w:rPr>
        <w:t xml:space="preserve">где </w:t>
      </w:r>
      <m:oMath>
        <m:acc>
          <m:accPr>
            <m:chr m:val="̅"/>
            <m:ctrlPr>
              <w:rPr>
                <w:rFonts w:ascii="Cambria Math" w:hAnsi="Cambria Math" w:cs="Calibri"/>
                <w:i/>
                <w:color w:val="000000"/>
                <w:sz w:val="28"/>
                <w:szCs w:val="28"/>
              </w:rPr>
            </m:ctrlPr>
          </m:accPr>
          <m:e>
            <m:r>
              <w:rPr>
                <w:rFonts w:ascii="Cambria Math" w:hAnsi="Cambria Math" w:cs="Calibri"/>
                <w:color w:val="000000"/>
                <w:sz w:val="28"/>
                <w:szCs w:val="28"/>
                <w:lang w:val="en-US"/>
              </w:rPr>
              <m:t>Z</m:t>
            </m:r>
          </m:e>
        </m:acc>
      </m:oMath>
      <w:r w:rsidRPr="001A6BB2">
        <w:rPr>
          <w:rFonts w:ascii="Times New Roman" w:hAnsi="Times New Roman" w:cs="Times New Roman"/>
          <w:sz w:val="24"/>
          <w:szCs w:val="24"/>
        </w:rPr>
        <w:t xml:space="preserve"> – значение Z статистики, рассчитанное по всем предприятиям промышленного комплекса в субъекте РФ на определенный момент времени;</w:t>
      </w:r>
      <w:r>
        <w:rPr>
          <w:rFonts w:ascii="Times New Roman" w:hAnsi="Times New Roman" w:cs="Times New Roman"/>
          <w:sz w:val="24"/>
          <w:szCs w:val="24"/>
        </w:rPr>
        <w:t xml:space="preserve"> </w:t>
      </w:r>
      <m:oMath>
        <m:acc>
          <m:accPr>
            <m:chr m:val="̅"/>
            <m:ctrlPr>
              <w:rPr>
                <w:rFonts w:ascii="Cambria Math" w:hAnsi="Cambria Math"/>
                <w:i/>
                <w:color w:val="000000"/>
                <w:sz w:val="28"/>
                <w:szCs w:val="28"/>
              </w:rPr>
            </m:ctrlPr>
          </m:accPr>
          <m:e>
            <m:sSub>
              <m:sSubPr>
                <m:ctrlPr>
                  <w:rPr>
                    <w:rFonts w:ascii="Cambria Math" w:hAnsi="Cambria Math"/>
                    <w:i/>
                    <w:color w:val="000000"/>
                    <w:sz w:val="28"/>
                    <w:szCs w:val="28"/>
                  </w:rPr>
                </m:ctrlPr>
              </m:sSubPr>
              <m:e>
                <m:r>
                  <w:rPr>
                    <w:rFonts w:ascii="Cambria Math" w:hAnsi="Cambria Math"/>
                    <w:color w:val="000000"/>
                    <w:sz w:val="28"/>
                    <w:szCs w:val="28"/>
                  </w:rPr>
                  <m:t>Z</m:t>
                </m:r>
              </m:e>
              <m:sub>
                <m:r>
                  <w:rPr>
                    <w:rFonts w:ascii="Cambria Math" w:hAnsi="Cambria Math"/>
                    <w:color w:val="000000"/>
                    <w:sz w:val="28"/>
                    <w:szCs w:val="28"/>
                  </w:rPr>
                  <m:t>i</m:t>
                </m:r>
              </m:sub>
            </m:sSub>
          </m:e>
        </m:acc>
      </m:oMath>
      <w:r w:rsidRPr="00E7239B">
        <w:rPr>
          <w:color w:val="000000"/>
          <w:sz w:val="28"/>
          <w:szCs w:val="28"/>
        </w:rPr>
        <w:t xml:space="preserve"> </w:t>
      </w:r>
      <w:r w:rsidRPr="001A6BB2">
        <w:rPr>
          <w:rFonts w:ascii="Times New Roman" w:hAnsi="Times New Roman" w:cs="Times New Roman"/>
          <w:sz w:val="24"/>
          <w:szCs w:val="24"/>
        </w:rPr>
        <w:t>– среднегеометрическое значение Z, рассчитанное по предприятиям определенной отрасли промышленности в субъекте РФ в момент времени;</w:t>
      </w:r>
      <w:r>
        <w:rPr>
          <w:rFonts w:ascii="Times New Roman" w:hAnsi="Times New Roman" w:cs="Times New Roman"/>
          <w:sz w:val="24"/>
          <w:szCs w:val="24"/>
        </w:rPr>
        <w:t xml:space="preserve"> </w:t>
      </w:r>
      <m:oMath>
        <m:acc>
          <m:accPr>
            <m:chr m:val="̅"/>
            <m:ctrlPr>
              <w:rPr>
                <w:rFonts w:ascii="Cambria Math" w:hAnsi="Cambria Math"/>
                <w:i/>
                <w:color w:val="000000"/>
                <w:sz w:val="28"/>
                <w:szCs w:val="28"/>
              </w:rPr>
            </m:ctrlPr>
          </m:accPr>
          <m:e>
            <m:sSub>
              <m:sSubPr>
                <m:ctrlPr>
                  <w:rPr>
                    <w:rFonts w:ascii="Cambria Math" w:hAnsi="Cambria Math"/>
                    <w:i/>
                    <w:color w:val="000000"/>
                    <w:sz w:val="28"/>
                    <w:szCs w:val="28"/>
                  </w:rPr>
                </m:ctrlPr>
              </m:sSubPr>
              <m:e>
                <m:r>
                  <w:rPr>
                    <w:rFonts w:ascii="Cambria Math" w:hAnsi="Cambria Math"/>
                    <w:color w:val="000000"/>
                    <w:sz w:val="28"/>
                    <w:szCs w:val="28"/>
                  </w:rPr>
                  <m:t>X</m:t>
                </m:r>
              </m:e>
              <m:sub>
                <m:r>
                  <w:rPr>
                    <w:rFonts w:ascii="Cambria Math" w:hAnsi="Cambria Math"/>
                    <w:color w:val="000000"/>
                    <w:sz w:val="28"/>
                    <w:szCs w:val="28"/>
                  </w:rPr>
                  <m:t>i</m:t>
                </m:r>
              </m:sub>
            </m:sSub>
          </m:e>
        </m:acc>
      </m:oMath>
      <w:r w:rsidRPr="00E7239B">
        <w:rPr>
          <w:color w:val="000000"/>
          <w:sz w:val="28"/>
          <w:szCs w:val="28"/>
        </w:rPr>
        <w:t xml:space="preserve"> </w:t>
      </w:r>
      <w:r w:rsidRPr="001A6BB2">
        <w:rPr>
          <w:rFonts w:ascii="Times New Roman" w:hAnsi="Times New Roman" w:cs="Times New Roman"/>
          <w:sz w:val="24"/>
          <w:szCs w:val="24"/>
        </w:rPr>
        <w:t>– средневзвешенный за определенный период времени удельный вес отрасли i в структуре промышленности субъекта РФ.</w:t>
      </w:r>
    </w:p>
    <w:p w14:paraId="4BA8AD3C" w14:textId="77777777" w:rsidR="001A6BB2" w:rsidRDefault="001A6BB2" w:rsidP="001A6BB2">
      <w:pPr>
        <w:spacing w:after="0" w:line="240" w:lineRule="auto"/>
        <w:ind w:firstLine="709"/>
        <w:jc w:val="both"/>
        <w:rPr>
          <w:rFonts w:ascii="Times New Roman" w:hAnsi="Times New Roman" w:cs="Times New Roman"/>
          <w:sz w:val="24"/>
          <w:szCs w:val="24"/>
        </w:rPr>
      </w:pPr>
    </w:p>
    <w:p w14:paraId="0615B617" w14:textId="30D3FE26" w:rsidR="009D5CC6" w:rsidRDefault="001A6BB2" w:rsidP="001A6BB2">
      <w:pPr>
        <w:spacing w:after="0" w:line="240" w:lineRule="auto"/>
        <w:ind w:firstLine="709"/>
        <w:jc w:val="both"/>
        <w:rPr>
          <w:rFonts w:ascii="Times New Roman" w:hAnsi="Times New Roman" w:cs="Times New Roman"/>
          <w:sz w:val="24"/>
          <w:szCs w:val="24"/>
        </w:rPr>
      </w:pPr>
      <w:r w:rsidRPr="001A6BB2">
        <w:rPr>
          <w:rFonts w:ascii="Times New Roman" w:hAnsi="Times New Roman" w:cs="Times New Roman"/>
          <w:sz w:val="24"/>
          <w:szCs w:val="24"/>
        </w:rPr>
        <w:t>Для нивелирования случайных изменений, наблюдаемых в динамике отраслевой структуры территориальных систем, и использования, действительно устоявшихся ее пропорций, целесообразно применение средневзвешенных за определенный период времени, например, последние 5-7 лет, коэффициентов, отражающих занимаемую долю отраслей промышленности в ее структуре. Поскольку для интерпретации результатов оценки финансовой состоятельности отраслей промышленности используются индивидуальные пороговые значения, то при подведении итогов данного анализа по всему промышленному комплексу требуется расчет обобщенных по всем отраслям пороговых значений. Для их обобщения предлагается использовать стандартный подход — расчет средних значений.</w:t>
      </w:r>
      <w:r>
        <w:rPr>
          <w:rFonts w:ascii="Times New Roman" w:hAnsi="Times New Roman" w:cs="Times New Roman"/>
          <w:sz w:val="24"/>
          <w:szCs w:val="24"/>
        </w:rPr>
        <w:t xml:space="preserve"> </w:t>
      </w:r>
      <w:r w:rsidRPr="001A6BB2">
        <w:rPr>
          <w:rFonts w:ascii="Times New Roman" w:hAnsi="Times New Roman" w:cs="Times New Roman"/>
          <w:sz w:val="24"/>
          <w:szCs w:val="24"/>
        </w:rPr>
        <w:t xml:space="preserve">Оценка перспектив банкротства промышленного комплекса территориальной системы в целом и его отраслей в частности, сопоставление их динамики поможет установить те направления производственной деятельности предприятий, которые в настоящее время </w:t>
      </w:r>
      <w:r w:rsidRPr="001A6BB2">
        <w:rPr>
          <w:rFonts w:ascii="Times New Roman" w:hAnsi="Times New Roman" w:cs="Times New Roman"/>
          <w:sz w:val="24"/>
          <w:szCs w:val="24"/>
        </w:rPr>
        <w:lastRenderedPageBreak/>
        <w:t>находятся в затруднительном финансовом положении и требуют повышенного внимания и поддержки со стороны органов государственной власти.</w:t>
      </w:r>
    </w:p>
    <w:p w14:paraId="7F4AA170" w14:textId="445B854D" w:rsidR="00EC60F3" w:rsidRDefault="00A40A21" w:rsidP="00EC60F3">
      <w:pPr>
        <w:spacing w:after="0" w:line="240" w:lineRule="auto"/>
        <w:ind w:firstLine="709"/>
        <w:jc w:val="both"/>
        <w:rPr>
          <w:rFonts w:ascii="Times New Roman" w:hAnsi="Times New Roman" w:cs="Times New Roman"/>
          <w:sz w:val="24"/>
          <w:szCs w:val="24"/>
        </w:rPr>
      </w:pPr>
      <w:r w:rsidRPr="009D5CC6">
        <w:rPr>
          <w:rFonts w:ascii="Times New Roman" w:hAnsi="Times New Roman" w:cs="Times New Roman"/>
          <w:sz w:val="24"/>
          <w:szCs w:val="24"/>
        </w:rPr>
        <w:t>Исследование выполнено за счет гранта Российского научного фонда № 24-28-00704 «Сценарное моделирование и прогнозирование рисков банкротства отраслей промышленности Свердловской области» (</w:t>
      </w:r>
      <w:hyperlink r:id="rId8" w:history="1">
        <w:r w:rsidR="009D5CC6" w:rsidRPr="009D5CC6">
          <w:rPr>
            <w:rStyle w:val="a6"/>
            <w:rFonts w:ascii="Times New Roman" w:hAnsi="Times New Roman" w:cs="Times New Roman"/>
            <w:sz w:val="24"/>
            <w:szCs w:val="24"/>
          </w:rPr>
          <w:t>https://rscf.ru/project/24-28-00704/</w:t>
        </w:r>
      </w:hyperlink>
      <w:r w:rsidRPr="009D5CC6">
        <w:rPr>
          <w:rFonts w:ascii="Times New Roman" w:hAnsi="Times New Roman" w:cs="Times New Roman"/>
          <w:sz w:val="24"/>
          <w:szCs w:val="24"/>
        </w:rPr>
        <w:t>).</w:t>
      </w:r>
    </w:p>
    <w:p w14:paraId="7CF4F1CC" w14:textId="77777777" w:rsidR="009D5CC6" w:rsidRPr="001B5953" w:rsidRDefault="009D5CC6" w:rsidP="00EC60F3">
      <w:pPr>
        <w:spacing w:after="0" w:line="240" w:lineRule="auto"/>
        <w:ind w:firstLine="709"/>
        <w:jc w:val="both"/>
        <w:rPr>
          <w:rFonts w:ascii="Times New Roman" w:hAnsi="Times New Roman" w:cs="Times New Roman"/>
          <w:sz w:val="24"/>
          <w:szCs w:val="24"/>
        </w:rPr>
      </w:pPr>
    </w:p>
    <w:p w14:paraId="08AD7E72" w14:textId="77777777" w:rsidR="00EC60F3" w:rsidRPr="001B5953" w:rsidRDefault="00EC60F3" w:rsidP="00EC60F3">
      <w:pPr>
        <w:spacing w:after="0" w:line="240" w:lineRule="auto"/>
        <w:ind w:firstLine="709"/>
        <w:jc w:val="center"/>
        <w:rPr>
          <w:rFonts w:ascii="Times New Roman" w:hAnsi="Times New Roman" w:cs="Times New Roman"/>
          <w:b/>
          <w:sz w:val="24"/>
          <w:szCs w:val="24"/>
        </w:rPr>
      </w:pPr>
      <w:r w:rsidRPr="001B5953">
        <w:rPr>
          <w:rFonts w:ascii="Times New Roman" w:hAnsi="Times New Roman" w:cs="Times New Roman"/>
          <w:b/>
          <w:sz w:val="24"/>
          <w:szCs w:val="24"/>
        </w:rPr>
        <w:t>ЛИТЕРАТУРА</w:t>
      </w:r>
    </w:p>
    <w:p w14:paraId="6B0CCDF7" w14:textId="4661D190" w:rsidR="00EC60F3" w:rsidRPr="009D5CC6" w:rsidRDefault="009D5CC6" w:rsidP="009D5CC6">
      <w:pPr>
        <w:numPr>
          <w:ilvl w:val="0"/>
          <w:numId w:val="1"/>
        </w:numPr>
        <w:tabs>
          <w:tab w:val="left" w:pos="0"/>
          <w:tab w:val="left" w:pos="1134"/>
        </w:tabs>
        <w:spacing w:after="0" w:line="240" w:lineRule="auto"/>
        <w:ind w:left="714" w:hanging="357"/>
        <w:jc w:val="both"/>
        <w:rPr>
          <w:rFonts w:ascii="Times New Roman" w:eastAsia="Calibri" w:hAnsi="Times New Roman" w:cs="Times New Roman"/>
          <w:sz w:val="24"/>
          <w:szCs w:val="24"/>
          <w:lang w:val="en-US"/>
        </w:rPr>
      </w:pPr>
      <w:r w:rsidRPr="009D5CC6">
        <w:rPr>
          <w:rFonts w:ascii="Times New Roman" w:eastAsia="Calibri" w:hAnsi="Times New Roman" w:cs="Times New Roman"/>
          <w:sz w:val="24"/>
          <w:szCs w:val="24"/>
          <w:lang w:val="en-US"/>
        </w:rPr>
        <w:t>Altman E.</w:t>
      </w:r>
      <w:r w:rsidRPr="009D5CC6">
        <w:rPr>
          <w:rFonts w:ascii="Times New Roman" w:eastAsia="Calibri" w:hAnsi="Times New Roman" w:cs="Times New Roman"/>
          <w:sz w:val="24"/>
          <w:szCs w:val="24"/>
          <w:lang w:val="en-US"/>
        </w:rPr>
        <w:t xml:space="preserve"> (1968),</w:t>
      </w:r>
      <w:r w:rsidRPr="009D5CC6">
        <w:rPr>
          <w:rFonts w:ascii="Times New Roman" w:eastAsia="Calibri" w:hAnsi="Times New Roman" w:cs="Times New Roman"/>
          <w:sz w:val="24"/>
          <w:szCs w:val="24"/>
          <w:lang w:val="en-US"/>
        </w:rPr>
        <w:t xml:space="preserve"> </w:t>
      </w:r>
      <w:r w:rsidR="001A6BB2" w:rsidRPr="001B5953">
        <w:rPr>
          <w:rFonts w:ascii="Times New Roman" w:eastAsia="Calibri" w:hAnsi="Times New Roman" w:cs="Times New Roman"/>
          <w:sz w:val="24"/>
          <w:szCs w:val="24"/>
          <w:lang w:val="en-US"/>
        </w:rPr>
        <w:t>"</w:t>
      </w:r>
      <w:r w:rsidRPr="009D5CC6">
        <w:rPr>
          <w:rFonts w:ascii="Times New Roman" w:eastAsia="Calibri" w:hAnsi="Times New Roman" w:cs="Times New Roman"/>
          <w:sz w:val="24"/>
          <w:szCs w:val="24"/>
          <w:lang w:val="en-US"/>
        </w:rPr>
        <w:t>Financial Ratios, Discriminant Analysis and the Prediction of Corporate Bankruptcy</w:t>
      </w:r>
      <w:r w:rsidR="001A6BB2" w:rsidRPr="001B5953">
        <w:rPr>
          <w:rFonts w:ascii="Times New Roman" w:eastAsia="Calibri" w:hAnsi="Times New Roman" w:cs="Times New Roman"/>
          <w:sz w:val="24"/>
          <w:szCs w:val="24"/>
          <w:lang w:val="en-US"/>
        </w:rPr>
        <w:t>"</w:t>
      </w:r>
      <w:r w:rsidR="001A6BB2" w:rsidRPr="001A6BB2">
        <w:rPr>
          <w:rFonts w:ascii="Times New Roman" w:eastAsia="Calibri" w:hAnsi="Times New Roman" w:cs="Times New Roman"/>
          <w:sz w:val="24"/>
          <w:szCs w:val="24"/>
          <w:lang w:val="en-US"/>
        </w:rPr>
        <w:t>,</w:t>
      </w:r>
      <w:r w:rsidRPr="009D5CC6">
        <w:rPr>
          <w:rFonts w:ascii="Times New Roman" w:eastAsia="Calibri" w:hAnsi="Times New Roman" w:cs="Times New Roman"/>
          <w:sz w:val="24"/>
          <w:szCs w:val="24"/>
          <w:lang w:val="en-US"/>
        </w:rPr>
        <w:t xml:space="preserve"> Journal of Finance</w:t>
      </w:r>
      <w:r w:rsidR="001A6BB2" w:rsidRPr="001A6BB2">
        <w:rPr>
          <w:rFonts w:ascii="Times New Roman" w:eastAsia="Calibri" w:hAnsi="Times New Roman" w:cs="Times New Roman"/>
          <w:sz w:val="24"/>
          <w:szCs w:val="24"/>
          <w:lang w:val="en-US"/>
        </w:rPr>
        <w:t>,</w:t>
      </w:r>
      <w:r w:rsidRPr="009D5CC6">
        <w:rPr>
          <w:rFonts w:ascii="Times New Roman" w:eastAsia="Calibri" w:hAnsi="Times New Roman" w:cs="Times New Roman"/>
          <w:sz w:val="24"/>
          <w:szCs w:val="24"/>
          <w:lang w:val="en-US"/>
        </w:rPr>
        <w:t xml:space="preserve"> </w:t>
      </w:r>
      <w:r w:rsidR="001A6BB2" w:rsidRPr="001B5953">
        <w:rPr>
          <w:rFonts w:ascii="Times New Roman" w:eastAsia="Calibri" w:hAnsi="Times New Roman" w:cs="Times New Roman"/>
          <w:sz w:val="24"/>
          <w:szCs w:val="24"/>
          <w:lang w:val="en-US"/>
        </w:rPr>
        <w:t>Vol.</w:t>
      </w:r>
      <w:r w:rsidR="001A6BB2" w:rsidRPr="001A6BB2">
        <w:rPr>
          <w:rFonts w:ascii="Times New Roman" w:eastAsia="Calibri" w:hAnsi="Times New Roman" w:cs="Times New Roman"/>
          <w:sz w:val="24"/>
          <w:szCs w:val="24"/>
          <w:lang w:val="en-US"/>
        </w:rPr>
        <w:t xml:space="preserve"> </w:t>
      </w:r>
      <w:r w:rsidRPr="009D5CC6">
        <w:rPr>
          <w:rFonts w:ascii="Times New Roman" w:eastAsia="Calibri" w:hAnsi="Times New Roman" w:cs="Times New Roman"/>
          <w:sz w:val="24"/>
          <w:szCs w:val="24"/>
          <w:lang w:val="en-US"/>
        </w:rPr>
        <w:t>23</w:t>
      </w:r>
      <w:r w:rsidR="001A6BB2" w:rsidRPr="001A6BB2">
        <w:rPr>
          <w:rFonts w:ascii="Times New Roman" w:eastAsia="Calibri" w:hAnsi="Times New Roman" w:cs="Times New Roman"/>
          <w:sz w:val="24"/>
          <w:szCs w:val="24"/>
          <w:lang w:val="en-US"/>
        </w:rPr>
        <w:t xml:space="preserve"> </w:t>
      </w:r>
      <w:r w:rsidR="001A6BB2" w:rsidRPr="001B5953">
        <w:rPr>
          <w:rFonts w:ascii="Times New Roman" w:eastAsia="Calibri" w:hAnsi="Times New Roman" w:cs="Times New Roman"/>
          <w:sz w:val="24"/>
          <w:szCs w:val="24"/>
          <w:lang w:val="en-US"/>
        </w:rPr>
        <w:t>No.</w:t>
      </w:r>
      <w:r w:rsidR="001A6BB2" w:rsidRPr="009D5CC6">
        <w:rPr>
          <w:rFonts w:ascii="Times New Roman" w:eastAsia="Calibri" w:hAnsi="Times New Roman" w:cs="Times New Roman"/>
          <w:sz w:val="24"/>
          <w:szCs w:val="24"/>
          <w:lang w:val="en-US"/>
        </w:rPr>
        <w:t xml:space="preserve"> </w:t>
      </w:r>
      <w:r w:rsidRPr="009D5CC6">
        <w:rPr>
          <w:rFonts w:ascii="Times New Roman" w:eastAsia="Calibri" w:hAnsi="Times New Roman" w:cs="Times New Roman"/>
          <w:sz w:val="24"/>
          <w:szCs w:val="24"/>
          <w:lang w:val="en-US"/>
        </w:rPr>
        <w:t>4</w:t>
      </w:r>
      <w:r w:rsidR="001A6BB2" w:rsidRPr="001A6BB2">
        <w:rPr>
          <w:rFonts w:ascii="Times New Roman" w:eastAsia="Calibri" w:hAnsi="Times New Roman" w:cs="Times New Roman"/>
          <w:sz w:val="24"/>
          <w:szCs w:val="24"/>
          <w:lang w:val="en-US"/>
        </w:rPr>
        <w:t xml:space="preserve">, </w:t>
      </w:r>
      <w:r w:rsidR="001A6BB2" w:rsidRPr="001B5953">
        <w:rPr>
          <w:rFonts w:ascii="Times New Roman" w:eastAsia="Calibri" w:hAnsi="Times New Roman" w:cs="Times New Roman"/>
          <w:sz w:val="24"/>
          <w:szCs w:val="24"/>
          <w:lang w:val="en-US"/>
        </w:rPr>
        <w:t xml:space="preserve">pp. </w:t>
      </w:r>
      <w:r w:rsidRPr="009D5CC6">
        <w:rPr>
          <w:rFonts w:ascii="Times New Roman" w:eastAsia="Calibri" w:hAnsi="Times New Roman" w:cs="Times New Roman"/>
          <w:sz w:val="24"/>
          <w:szCs w:val="24"/>
          <w:lang w:val="en-US"/>
        </w:rPr>
        <w:t>589–609</w:t>
      </w:r>
    </w:p>
    <w:sectPr w:rsidR="00EC60F3" w:rsidRPr="009D5CC6" w:rsidSect="002A3BD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404FA50" w14:textId="77777777" w:rsidR="002A3BDB" w:rsidRDefault="002A3BDB" w:rsidP="00827E82">
      <w:pPr>
        <w:spacing w:after="0" w:line="240" w:lineRule="auto"/>
      </w:pPr>
      <w:r>
        <w:separator/>
      </w:r>
    </w:p>
  </w:endnote>
  <w:endnote w:type="continuationSeparator" w:id="0">
    <w:p w14:paraId="0A2EFD3A" w14:textId="77777777" w:rsidR="002A3BDB" w:rsidRDefault="002A3BDB"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6AF45F" w14:textId="77777777" w:rsidR="002A3BDB" w:rsidRDefault="002A3BDB" w:rsidP="00827E82">
      <w:pPr>
        <w:spacing w:after="0" w:line="240" w:lineRule="auto"/>
      </w:pPr>
      <w:r>
        <w:separator/>
      </w:r>
    </w:p>
  </w:footnote>
  <w:footnote w:type="continuationSeparator" w:id="0">
    <w:p w14:paraId="4243D320" w14:textId="77777777" w:rsidR="002A3BDB" w:rsidRDefault="002A3BDB" w:rsidP="00827E82">
      <w:pPr>
        <w:spacing w:after="0" w:line="240" w:lineRule="auto"/>
      </w:pPr>
      <w:r>
        <w:continuationSeparator/>
      </w:r>
    </w:p>
  </w:footnote>
  <w:footnote w:id="1">
    <w:p w14:paraId="1C2D31FD" w14:textId="24D75EB6" w:rsidR="00827E82" w:rsidRPr="00CA7DF7" w:rsidRDefault="00827E82" w:rsidP="00827E82">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sidR="008204A5">
        <w:rPr>
          <w:rFonts w:ascii="Times New Roman" w:hAnsi="Times New Roman" w:cs="Times New Roman"/>
          <w:sz w:val="20"/>
          <w:szCs w:val="20"/>
        </w:rPr>
        <w:t>Наумов Илья Викторович</w:t>
      </w:r>
      <w:r w:rsidRPr="00CA7DF7">
        <w:rPr>
          <w:rFonts w:ascii="Times New Roman" w:hAnsi="Times New Roman" w:cs="Times New Roman"/>
          <w:sz w:val="20"/>
          <w:szCs w:val="20"/>
        </w:rPr>
        <w:t xml:space="preserve">, </w:t>
      </w:r>
      <w:r w:rsidR="008204A5">
        <w:rPr>
          <w:rFonts w:ascii="Times New Roman" w:hAnsi="Times New Roman" w:cs="Times New Roman"/>
          <w:sz w:val="20"/>
          <w:szCs w:val="20"/>
        </w:rPr>
        <w:t>кандидат экономических наук</w:t>
      </w:r>
      <w:r w:rsidRPr="00CA7DF7">
        <w:rPr>
          <w:rFonts w:ascii="Times New Roman" w:hAnsi="Times New Roman" w:cs="Times New Roman"/>
          <w:sz w:val="20"/>
          <w:szCs w:val="20"/>
        </w:rPr>
        <w:t xml:space="preserve">, </w:t>
      </w:r>
      <w:r w:rsidR="008204A5">
        <w:rPr>
          <w:rFonts w:ascii="Times New Roman" w:hAnsi="Times New Roman" w:cs="Times New Roman"/>
          <w:sz w:val="20"/>
          <w:szCs w:val="20"/>
        </w:rPr>
        <w:t>доцент, зав. лабораторией</w:t>
      </w:r>
      <w:r w:rsidRPr="00CA7DF7">
        <w:rPr>
          <w:rFonts w:ascii="Times New Roman" w:hAnsi="Times New Roman" w:cs="Times New Roman"/>
          <w:sz w:val="20"/>
          <w:szCs w:val="20"/>
        </w:rPr>
        <w:t xml:space="preserve">, </w:t>
      </w:r>
      <w:r w:rsidR="008204A5">
        <w:rPr>
          <w:rFonts w:ascii="Times New Roman" w:hAnsi="Times New Roman" w:cs="Times New Roman"/>
          <w:sz w:val="20"/>
          <w:szCs w:val="20"/>
        </w:rPr>
        <w:t>Институт экономики УрО РАН</w:t>
      </w:r>
      <w:r w:rsidRPr="00CA7DF7">
        <w:rPr>
          <w:rFonts w:ascii="Times New Roman" w:hAnsi="Times New Roman" w:cs="Times New Roman"/>
          <w:sz w:val="20"/>
          <w:szCs w:val="20"/>
        </w:rPr>
        <w:t xml:space="preserve"> (Адрес: </w:t>
      </w:r>
      <w:r w:rsidR="008204A5">
        <w:rPr>
          <w:rFonts w:ascii="Times New Roman" w:hAnsi="Times New Roman" w:cs="Times New Roman"/>
          <w:sz w:val="20"/>
          <w:szCs w:val="20"/>
        </w:rPr>
        <w:t>620014</w:t>
      </w:r>
      <w:r w:rsidRPr="00CA7DF7">
        <w:rPr>
          <w:rFonts w:ascii="Times New Roman" w:hAnsi="Times New Roman" w:cs="Times New Roman"/>
          <w:sz w:val="20"/>
          <w:szCs w:val="20"/>
        </w:rPr>
        <w:t xml:space="preserve">, </w:t>
      </w:r>
      <w:r w:rsidR="008204A5">
        <w:rPr>
          <w:rFonts w:ascii="Times New Roman" w:hAnsi="Times New Roman" w:cs="Times New Roman"/>
          <w:sz w:val="20"/>
          <w:szCs w:val="20"/>
        </w:rPr>
        <w:t>Россия</w:t>
      </w:r>
      <w:r w:rsidRPr="00CA7DF7">
        <w:rPr>
          <w:rFonts w:ascii="Times New Roman" w:hAnsi="Times New Roman" w:cs="Times New Roman"/>
          <w:sz w:val="20"/>
          <w:szCs w:val="20"/>
        </w:rPr>
        <w:t xml:space="preserve">, </w:t>
      </w:r>
      <w:r w:rsidR="008204A5">
        <w:rPr>
          <w:rFonts w:ascii="Times New Roman" w:hAnsi="Times New Roman" w:cs="Times New Roman"/>
          <w:sz w:val="20"/>
          <w:szCs w:val="20"/>
        </w:rPr>
        <w:t>г. Екатеринбург</w:t>
      </w:r>
      <w:r w:rsidRPr="00CA7DF7">
        <w:rPr>
          <w:rFonts w:ascii="Times New Roman" w:hAnsi="Times New Roman" w:cs="Times New Roman"/>
          <w:sz w:val="20"/>
          <w:szCs w:val="20"/>
        </w:rPr>
        <w:t xml:space="preserve">, ул. </w:t>
      </w:r>
      <w:r w:rsidR="008204A5">
        <w:rPr>
          <w:rFonts w:ascii="Times New Roman" w:hAnsi="Times New Roman" w:cs="Times New Roman"/>
          <w:sz w:val="20"/>
          <w:szCs w:val="20"/>
        </w:rPr>
        <w:t>Московская</w:t>
      </w:r>
      <w:r w:rsidRPr="00CA7DF7">
        <w:rPr>
          <w:rFonts w:ascii="Times New Roman" w:hAnsi="Times New Roman" w:cs="Times New Roman"/>
          <w:sz w:val="20"/>
          <w:szCs w:val="20"/>
        </w:rPr>
        <w:t xml:space="preserve">, д. </w:t>
      </w:r>
      <w:r w:rsidR="008204A5">
        <w:rPr>
          <w:rFonts w:ascii="Times New Roman" w:hAnsi="Times New Roman" w:cs="Times New Roman"/>
          <w:sz w:val="20"/>
          <w:szCs w:val="20"/>
        </w:rPr>
        <w:t>29</w:t>
      </w:r>
      <w:r w:rsidRPr="00CA7DF7">
        <w:rPr>
          <w:rFonts w:ascii="Times New Roman" w:hAnsi="Times New Roman" w:cs="Times New Roman"/>
          <w:sz w:val="20"/>
          <w:szCs w:val="20"/>
        </w:rPr>
        <w:t>; E-mail:</w:t>
      </w:r>
      <w:r w:rsidR="008204A5">
        <w:rPr>
          <w:rFonts w:ascii="Times New Roman" w:hAnsi="Times New Roman" w:cs="Times New Roman"/>
          <w:sz w:val="20"/>
          <w:szCs w:val="20"/>
        </w:rPr>
        <w:t xml:space="preserve"> </w:t>
      </w:r>
      <w:r w:rsidR="008204A5">
        <w:rPr>
          <w:rFonts w:ascii="Times New Roman" w:hAnsi="Times New Roman" w:cs="Times New Roman"/>
          <w:sz w:val="20"/>
          <w:szCs w:val="20"/>
          <w:lang w:val="en-US"/>
        </w:rPr>
        <w:t>naumov.iv@uiec.ru</w:t>
      </w:r>
      <w:r w:rsidRPr="00CA7DF7">
        <w:rPr>
          <w:rFonts w:ascii="Times New Roman" w:hAnsi="Times New Roman" w:cs="Times New Roman"/>
          <w:sz w:val="20"/>
          <w:szCs w:val="2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9398732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27E82"/>
    <w:rsid w:val="00093BEC"/>
    <w:rsid w:val="001A6BB2"/>
    <w:rsid w:val="001B5953"/>
    <w:rsid w:val="00287F75"/>
    <w:rsid w:val="002A3BDB"/>
    <w:rsid w:val="00353244"/>
    <w:rsid w:val="0044325D"/>
    <w:rsid w:val="00590F6E"/>
    <w:rsid w:val="005F5AF9"/>
    <w:rsid w:val="00666004"/>
    <w:rsid w:val="00787640"/>
    <w:rsid w:val="007C5690"/>
    <w:rsid w:val="007D79E0"/>
    <w:rsid w:val="008204A5"/>
    <w:rsid w:val="00827E82"/>
    <w:rsid w:val="00854770"/>
    <w:rsid w:val="008C75C1"/>
    <w:rsid w:val="00916BF7"/>
    <w:rsid w:val="00935D51"/>
    <w:rsid w:val="009D5CC6"/>
    <w:rsid w:val="00A40A21"/>
    <w:rsid w:val="00AA0B48"/>
    <w:rsid w:val="00BC155A"/>
    <w:rsid w:val="00E6233E"/>
    <w:rsid w:val="00EA4672"/>
    <w:rsid w:val="00EC60F3"/>
    <w:rsid w:val="00ED08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docId w15:val="{2A6C822B-0DA3-44D4-977B-69B835F6D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8204A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204A5"/>
    <w:rPr>
      <w:rFonts w:ascii="Tahoma" w:hAnsi="Tahoma" w:cs="Tahoma"/>
      <w:sz w:val="16"/>
      <w:szCs w:val="16"/>
    </w:rPr>
  </w:style>
  <w:style w:type="character" w:styleId="a6">
    <w:name w:val="Hyperlink"/>
    <w:basedOn w:val="a0"/>
    <w:uiPriority w:val="99"/>
    <w:unhideWhenUsed/>
    <w:rsid w:val="009D5CC6"/>
    <w:rPr>
      <w:color w:val="0563C1" w:themeColor="hyperlink"/>
      <w:u w:val="single"/>
    </w:rPr>
  </w:style>
  <w:style w:type="character" w:styleId="a7">
    <w:name w:val="Unresolved Mention"/>
    <w:basedOn w:val="a0"/>
    <w:uiPriority w:val="99"/>
    <w:semiHidden/>
    <w:unhideWhenUsed/>
    <w:rsid w:val="009D5C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scf.ru/project/24-28-00704/"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6</Pages>
  <Words>2812</Words>
  <Characters>16029</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18804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User</cp:lastModifiedBy>
  <cp:revision>5</cp:revision>
  <dcterms:created xsi:type="dcterms:W3CDTF">2024-05-03T08:50:00Z</dcterms:created>
  <dcterms:modified xsi:type="dcterms:W3CDTF">2024-05-07T11:05:00Z</dcterms:modified>
</cp:coreProperties>
</file>