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E82" w:rsidRDefault="00B86330" w:rsidP="00B86330">
      <w:pPr>
        <w:pStyle w:val="12"/>
        <w:spacing w:line="240" w:lineRule="auto"/>
        <w:ind w:firstLine="709"/>
        <w:rPr>
          <w:caps/>
          <w:szCs w:val="24"/>
          <w:vertAlign w:val="superscript"/>
        </w:rPr>
      </w:pPr>
      <w:bookmarkStart w:id="0" w:name="_Toc76714064"/>
      <w:r>
        <w:rPr>
          <w:szCs w:val="24"/>
          <w:lang w:eastAsia="ru-RU"/>
        </w:rPr>
        <w:t>Морошкина М.В.</w:t>
      </w:r>
      <w:bookmarkEnd w:id="0"/>
      <w:r>
        <w:rPr>
          <w:rStyle w:val="a3"/>
          <w:szCs w:val="24"/>
          <w:lang w:eastAsia="ru-RU"/>
        </w:rPr>
        <w:footnoteReference w:id="2"/>
      </w:r>
    </w:p>
    <w:p w:rsidR="00B86330" w:rsidRPr="00B86330" w:rsidRDefault="00B86330" w:rsidP="00B86330">
      <w:pPr>
        <w:pStyle w:val="12"/>
        <w:spacing w:line="240" w:lineRule="auto"/>
        <w:ind w:firstLine="709"/>
        <w:rPr>
          <w:szCs w:val="24"/>
          <w:lang w:eastAsia="ru-RU"/>
        </w:rPr>
      </w:pPr>
      <w:r>
        <w:rPr>
          <w:szCs w:val="24"/>
          <w:lang w:eastAsia="ru-RU"/>
        </w:rPr>
        <w:t>Резанова Л.В.</w:t>
      </w:r>
      <w:r>
        <w:rPr>
          <w:rStyle w:val="a3"/>
          <w:szCs w:val="24"/>
          <w:lang w:eastAsia="ru-RU"/>
        </w:rPr>
        <w:footnoteReference w:id="3"/>
      </w:r>
    </w:p>
    <w:p w:rsidR="00827E82" w:rsidRPr="001B5953" w:rsidRDefault="00B86330" w:rsidP="00353244">
      <w:pPr>
        <w:pStyle w:val="123"/>
        <w:ind w:firstLine="709"/>
        <w:rPr>
          <w:rFonts w:eastAsia="Times New Roman" w:cs="Times New Roman"/>
          <w:szCs w:val="24"/>
        </w:rPr>
      </w:pPr>
      <w:r w:rsidRPr="00B86330">
        <w:rPr>
          <w:rFonts w:eastAsiaTheme="minorHAnsi" w:cs="Times New Roman"/>
          <w:snapToGrid/>
          <w:color w:val="auto"/>
          <w:szCs w:val="24"/>
          <w:lang w:eastAsia="en-US"/>
        </w:rPr>
        <w:t>Концентрация финансового и страхового сектора</w:t>
      </w:r>
      <w:r>
        <w:rPr>
          <w:rStyle w:val="a3"/>
          <w:rFonts w:eastAsiaTheme="minorHAnsi" w:cs="Times New Roman"/>
          <w:snapToGrid/>
          <w:color w:val="auto"/>
          <w:szCs w:val="24"/>
          <w:lang w:eastAsia="en-US"/>
        </w:rPr>
        <w:footnoteReference w:id="4"/>
      </w:r>
    </w:p>
    <w:p w:rsidR="00EA1472" w:rsidRDefault="00EA1472" w:rsidP="00353244">
      <w:pPr>
        <w:spacing w:after="0" w:line="240" w:lineRule="auto"/>
        <w:ind w:firstLine="425"/>
        <w:jc w:val="both"/>
        <w:rPr>
          <w:rFonts w:ascii="Times New Roman" w:hAnsi="Times New Roman" w:cs="Times New Roman"/>
          <w:b/>
          <w:bCs/>
          <w:iCs/>
          <w:sz w:val="24"/>
          <w:szCs w:val="24"/>
        </w:rPr>
      </w:pPr>
    </w:p>
    <w:p w:rsidR="00F66CC9" w:rsidRDefault="00827E82" w:rsidP="00F66CC9">
      <w:pPr>
        <w:spacing w:after="0" w:line="240" w:lineRule="auto"/>
        <w:ind w:firstLine="425"/>
        <w:jc w:val="both"/>
        <w:rPr>
          <w:rFonts w:ascii="Times New Roman" w:hAnsi="Times New Roman" w:cs="Times New Roman"/>
          <w:i/>
          <w:sz w:val="24"/>
          <w:szCs w:val="24"/>
          <w:lang w:val="en-US"/>
        </w:rPr>
      </w:pPr>
      <w:r w:rsidRPr="008C75C1">
        <w:rPr>
          <w:rFonts w:ascii="Times New Roman" w:hAnsi="Times New Roman" w:cs="Times New Roman"/>
          <w:b/>
          <w:bCs/>
          <w:iCs/>
          <w:sz w:val="24"/>
          <w:szCs w:val="24"/>
        </w:rPr>
        <w:t>Аннотация</w:t>
      </w:r>
      <w:r w:rsidR="0086686D">
        <w:rPr>
          <w:rFonts w:ascii="Times New Roman" w:hAnsi="Times New Roman" w:cs="Times New Roman"/>
          <w:b/>
          <w:bCs/>
          <w:iCs/>
          <w:sz w:val="24"/>
          <w:szCs w:val="24"/>
        </w:rPr>
        <w:t>.</w:t>
      </w:r>
      <w:r w:rsidRPr="001B5953">
        <w:rPr>
          <w:rFonts w:ascii="Times New Roman" w:hAnsi="Times New Roman" w:cs="Times New Roman"/>
          <w:i/>
          <w:sz w:val="24"/>
          <w:szCs w:val="24"/>
        </w:rPr>
        <w:t xml:space="preserve"> </w:t>
      </w:r>
      <w:r w:rsidR="00F66CC9" w:rsidRPr="00F66CC9">
        <w:rPr>
          <w:rFonts w:ascii="Times New Roman" w:hAnsi="Times New Roman" w:cs="Times New Roman"/>
          <w:i/>
          <w:sz w:val="24"/>
          <w:szCs w:val="24"/>
        </w:rPr>
        <w:t>В статье рассматривается процесс конце</w:t>
      </w:r>
      <w:r w:rsidR="00C60A1F">
        <w:rPr>
          <w:rFonts w:ascii="Times New Roman" w:hAnsi="Times New Roman" w:cs="Times New Roman"/>
          <w:i/>
          <w:sz w:val="24"/>
          <w:szCs w:val="24"/>
        </w:rPr>
        <w:t>нтрации страхового рынка России</w:t>
      </w:r>
      <w:r w:rsidR="00F66CC9" w:rsidRPr="00F66CC9">
        <w:rPr>
          <w:rFonts w:ascii="Times New Roman" w:hAnsi="Times New Roman" w:cs="Times New Roman"/>
          <w:i/>
          <w:sz w:val="24"/>
          <w:szCs w:val="24"/>
        </w:rPr>
        <w:t xml:space="preserve"> и оценивается его уровень</w:t>
      </w:r>
      <w:r w:rsidR="00F66CC9">
        <w:rPr>
          <w:rFonts w:ascii="Times New Roman" w:hAnsi="Times New Roman" w:cs="Times New Roman"/>
          <w:i/>
          <w:sz w:val="24"/>
          <w:szCs w:val="24"/>
        </w:rPr>
        <w:t xml:space="preserve"> </w:t>
      </w:r>
      <w:r w:rsidR="00F66CC9" w:rsidRPr="00F66CC9">
        <w:rPr>
          <w:rFonts w:ascii="Times New Roman" w:hAnsi="Times New Roman" w:cs="Times New Roman"/>
          <w:i/>
          <w:sz w:val="24"/>
          <w:szCs w:val="24"/>
        </w:rPr>
        <w:t xml:space="preserve">в стране и </w:t>
      </w:r>
      <w:r w:rsidR="00F66CC9">
        <w:rPr>
          <w:rFonts w:ascii="Times New Roman" w:hAnsi="Times New Roman" w:cs="Times New Roman"/>
          <w:i/>
          <w:sz w:val="24"/>
          <w:szCs w:val="24"/>
        </w:rPr>
        <w:t>российских р</w:t>
      </w:r>
      <w:r w:rsidR="00F66CC9" w:rsidRPr="00F66CC9">
        <w:rPr>
          <w:rFonts w:ascii="Times New Roman" w:hAnsi="Times New Roman" w:cs="Times New Roman"/>
          <w:i/>
          <w:sz w:val="24"/>
          <w:szCs w:val="24"/>
        </w:rPr>
        <w:t>егионах. Анализируются показатели концентрации страхового рынка</w:t>
      </w:r>
      <w:r w:rsidR="00F66CC9">
        <w:rPr>
          <w:rFonts w:ascii="Times New Roman" w:hAnsi="Times New Roman" w:cs="Times New Roman"/>
          <w:i/>
          <w:sz w:val="24"/>
          <w:szCs w:val="24"/>
        </w:rPr>
        <w:t xml:space="preserve"> и динамика их</w:t>
      </w:r>
      <w:r w:rsidR="00F66CC9" w:rsidRPr="00F66CC9">
        <w:rPr>
          <w:rFonts w:ascii="Times New Roman" w:hAnsi="Times New Roman" w:cs="Times New Roman"/>
          <w:i/>
          <w:sz w:val="24"/>
          <w:szCs w:val="24"/>
        </w:rPr>
        <w:t xml:space="preserve"> изменения</w:t>
      </w:r>
      <w:r w:rsidR="00421927">
        <w:rPr>
          <w:rFonts w:ascii="Times New Roman" w:hAnsi="Times New Roman" w:cs="Times New Roman"/>
          <w:i/>
          <w:sz w:val="24"/>
          <w:szCs w:val="24"/>
          <w:lang w:val="en-US"/>
        </w:rPr>
        <w:t xml:space="preserve">. </w:t>
      </w:r>
    </w:p>
    <w:p w:rsidR="00421927" w:rsidRPr="00421927" w:rsidRDefault="00421927" w:rsidP="00F66CC9">
      <w:pPr>
        <w:spacing w:after="0" w:line="240" w:lineRule="auto"/>
        <w:ind w:firstLine="425"/>
        <w:jc w:val="both"/>
        <w:rPr>
          <w:rFonts w:ascii="Times New Roman" w:hAnsi="Times New Roman" w:cs="Times New Roman"/>
          <w:i/>
          <w:sz w:val="24"/>
          <w:szCs w:val="24"/>
          <w:lang w:val="en-US"/>
        </w:rPr>
      </w:pPr>
    </w:p>
    <w:p w:rsidR="001B5953"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EA1472">
        <w:rPr>
          <w:rFonts w:ascii="Times New Roman" w:hAnsi="Times New Roman" w:cs="Times New Roman"/>
          <w:i/>
          <w:sz w:val="24"/>
          <w:szCs w:val="24"/>
        </w:rPr>
        <w:t xml:space="preserve">российские регионы, ВДС, страховая деятельность, финансовая деятельность регионы лидеры, регионы аутсайдеры.  </w:t>
      </w:r>
    </w:p>
    <w:p w:rsidR="00B17825" w:rsidRDefault="00B17825" w:rsidP="00353244">
      <w:pPr>
        <w:spacing w:after="0" w:line="240" w:lineRule="auto"/>
        <w:ind w:firstLine="709"/>
        <w:jc w:val="both"/>
        <w:rPr>
          <w:rFonts w:ascii="Times New Roman" w:hAnsi="Times New Roman" w:cs="Times New Roman"/>
          <w:sz w:val="24"/>
          <w:szCs w:val="24"/>
        </w:rPr>
      </w:pPr>
    </w:p>
    <w:p w:rsidR="0086686D" w:rsidRDefault="0086686D" w:rsidP="0086686D">
      <w:pPr>
        <w:pStyle w:val="12"/>
        <w:spacing w:line="240" w:lineRule="auto"/>
        <w:ind w:firstLine="709"/>
        <w:jc w:val="center"/>
        <w:rPr>
          <w:szCs w:val="24"/>
          <w:lang w:eastAsia="ru-RU"/>
        </w:rPr>
      </w:pPr>
      <w:r w:rsidRPr="0086686D">
        <w:rPr>
          <w:szCs w:val="24"/>
          <w:lang w:eastAsia="ru-RU"/>
        </w:rPr>
        <w:t>Concentration of the financial and insurance sectors</w:t>
      </w:r>
    </w:p>
    <w:p w:rsidR="0086686D" w:rsidRDefault="0086686D" w:rsidP="0086686D">
      <w:pPr>
        <w:pStyle w:val="12"/>
        <w:spacing w:line="240" w:lineRule="auto"/>
        <w:ind w:firstLine="709"/>
        <w:jc w:val="center"/>
        <w:rPr>
          <w:szCs w:val="24"/>
          <w:lang w:eastAsia="ru-RU"/>
        </w:rPr>
      </w:pPr>
    </w:p>
    <w:p w:rsidR="0086686D" w:rsidRPr="00421927" w:rsidRDefault="0086686D" w:rsidP="0086686D">
      <w:pPr>
        <w:pStyle w:val="12"/>
        <w:shd w:val="clear" w:color="auto" w:fill="auto"/>
        <w:spacing w:line="240" w:lineRule="auto"/>
        <w:ind w:firstLine="709"/>
        <w:jc w:val="both"/>
        <w:rPr>
          <w:b w:val="0"/>
          <w:i/>
          <w:szCs w:val="24"/>
          <w:lang w:val="en-US" w:eastAsia="ru-RU"/>
        </w:rPr>
      </w:pPr>
      <w:r w:rsidRPr="0086686D">
        <w:rPr>
          <w:szCs w:val="24"/>
          <w:lang w:val="en-US" w:eastAsia="ru-RU"/>
        </w:rPr>
        <w:t xml:space="preserve">Abstract. </w:t>
      </w:r>
      <w:r w:rsidRPr="0086686D">
        <w:rPr>
          <w:b w:val="0"/>
          <w:i/>
          <w:szCs w:val="24"/>
          <w:lang w:val="en-US" w:eastAsia="ru-RU"/>
        </w:rPr>
        <w:t>The article examines the process of concentration of the Russian insurance market and assesses its level in the country and Russian regions. The indicators of concentration of the insurance market and the dynamics of their changes are analyzed.</w:t>
      </w:r>
    </w:p>
    <w:p w:rsidR="0086686D" w:rsidRPr="00421927" w:rsidRDefault="0086686D" w:rsidP="0086686D">
      <w:pPr>
        <w:pStyle w:val="12"/>
        <w:shd w:val="clear" w:color="auto" w:fill="auto"/>
        <w:spacing w:line="240" w:lineRule="auto"/>
        <w:ind w:firstLine="709"/>
        <w:jc w:val="both"/>
        <w:rPr>
          <w:b w:val="0"/>
          <w:i/>
          <w:szCs w:val="24"/>
          <w:lang w:val="en-US" w:eastAsia="ru-RU"/>
        </w:rPr>
      </w:pPr>
    </w:p>
    <w:p w:rsidR="0086686D" w:rsidRPr="0086686D" w:rsidRDefault="0086686D" w:rsidP="00866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hAnsi="Times New Roman" w:cs="Times New Roman"/>
          <w:bCs/>
          <w:i/>
          <w:spacing w:val="-7"/>
          <w:sz w:val="24"/>
          <w:szCs w:val="24"/>
          <w:lang w:val="en-US" w:eastAsia="ru-RU"/>
        </w:rPr>
      </w:pPr>
      <w:r w:rsidRPr="0086686D">
        <w:rPr>
          <w:rFonts w:ascii="Times New Roman" w:hAnsi="Times New Roman" w:cs="Times New Roman"/>
          <w:b/>
          <w:bCs/>
          <w:i/>
          <w:spacing w:val="-7"/>
          <w:sz w:val="24"/>
          <w:szCs w:val="24"/>
          <w:lang w:val="en-US" w:eastAsia="ru-RU"/>
        </w:rPr>
        <w:t>Key words:</w:t>
      </w:r>
      <w:r w:rsidRPr="0086686D">
        <w:rPr>
          <w:rFonts w:ascii="Times New Roman" w:hAnsi="Times New Roman" w:cs="Times New Roman"/>
          <w:bCs/>
          <w:i/>
          <w:spacing w:val="-7"/>
          <w:sz w:val="24"/>
          <w:szCs w:val="24"/>
          <w:lang w:val="en-US" w:eastAsia="ru-RU"/>
        </w:rPr>
        <w:t xml:space="preserve"> Russian regions, GVA, insurance activities, financial activities, leading regions, outsider regions.</w:t>
      </w:r>
    </w:p>
    <w:p w:rsidR="0086686D" w:rsidRPr="0086686D" w:rsidRDefault="0086686D" w:rsidP="0086686D">
      <w:pPr>
        <w:pStyle w:val="12"/>
        <w:shd w:val="clear" w:color="auto" w:fill="auto"/>
        <w:spacing w:line="240" w:lineRule="auto"/>
        <w:ind w:firstLine="709"/>
        <w:jc w:val="both"/>
        <w:rPr>
          <w:b w:val="0"/>
          <w:i/>
          <w:szCs w:val="24"/>
          <w:lang w:val="en-US" w:eastAsia="ru-RU"/>
        </w:rPr>
      </w:pPr>
    </w:p>
    <w:p w:rsidR="0086686D" w:rsidRPr="0086686D" w:rsidRDefault="0086686D" w:rsidP="0086686D">
      <w:pPr>
        <w:spacing w:after="0" w:line="240" w:lineRule="auto"/>
        <w:ind w:firstLine="709"/>
        <w:jc w:val="both"/>
        <w:rPr>
          <w:rFonts w:ascii="Times New Roman" w:hAnsi="Times New Roman" w:cs="Times New Roman"/>
          <w:sz w:val="24"/>
          <w:szCs w:val="24"/>
          <w:lang w:val="en-US"/>
        </w:rPr>
      </w:pPr>
    </w:p>
    <w:p w:rsidR="00B17825" w:rsidRDefault="00025118" w:rsidP="00353244">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Введение.</w:t>
      </w:r>
    </w:p>
    <w:p w:rsidR="00F91299" w:rsidRDefault="00F91299"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Неравномерность регионального развития, отмечаемая в большинстве исследовательских работ по региональной экономике </w:t>
      </w:r>
      <w:r w:rsidRPr="00F91299">
        <w:rPr>
          <w:rFonts w:ascii="Times New Roman" w:hAnsi="Times New Roman" w:cs="Times New Roman"/>
          <w:sz w:val="24"/>
          <w:szCs w:val="24"/>
        </w:rPr>
        <w:t>[</w:t>
      </w:r>
      <w:r w:rsidR="00EA1472">
        <w:rPr>
          <w:rFonts w:ascii="Times New Roman" w:hAnsi="Times New Roman" w:cs="Times New Roman"/>
          <w:sz w:val="24"/>
          <w:szCs w:val="24"/>
        </w:rPr>
        <w:t>1-3</w:t>
      </w:r>
      <w:r w:rsidRPr="00F91299">
        <w:rPr>
          <w:rFonts w:ascii="Times New Roman" w:hAnsi="Times New Roman" w:cs="Times New Roman"/>
          <w:sz w:val="24"/>
          <w:szCs w:val="24"/>
        </w:rPr>
        <w:t xml:space="preserve">] </w:t>
      </w:r>
      <w:r>
        <w:rPr>
          <w:rFonts w:ascii="Times New Roman" w:hAnsi="Times New Roman" w:cs="Times New Roman"/>
          <w:sz w:val="24"/>
          <w:szCs w:val="24"/>
        </w:rPr>
        <w:t xml:space="preserve">сопровождается высоким уровнем концентрации региональных отраслевых рынков.  </w:t>
      </w:r>
    </w:p>
    <w:p w:rsidR="00791C80" w:rsidRDefault="00F91299" w:rsidP="00791C8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Современные тенденции регионального развития отмечают </w:t>
      </w:r>
      <w:r w:rsidR="00561020">
        <w:rPr>
          <w:rFonts w:ascii="Times New Roman" w:hAnsi="Times New Roman" w:cs="Times New Roman"/>
          <w:sz w:val="24"/>
          <w:szCs w:val="24"/>
        </w:rPr>
        <w:t>высокий уровень</w:t>
      </w:r>
      <w:r>
        <w:rPr>
          <w:rFonts w:ascii="Times New Roman" w:hAnsi="Times New Roman" w:cs="Times New Roman"/>
          <w:sz w:val="24"/>
          <w:szCs w:val="24"/>
        </w:rPr>
        <w:t xml:space="preserve"> концентрации по значительному количеству индикаторов. В рамках данного исследования, внимание будет уделено процессу концентрации страхового и финансового сектора.  Научные работы, посвященные анализу </w:t>
      </w:r>
      <w:r w:rsidR="00561020">
        <w:rPr>
          <w:rFonts w:ascii="Times New Roman" w:hAnsi="Times New Roman" w:cs="Times New Roman"/>
          <w:sz w:val="24"/>
          <w:szCs w:val="24"/>
        </w:rPr>
        <w:t>развития страхового и финансового рынка</w:t>
      </w:r>
      <w:r w:rsidR="001A0FCD">
        <w:rPr>
          <w:rFonts w:ascii="Times New Roman" w:hAnsi="Times New Roman" w:cs="Times New Roman"/>
          <w:sz w:val="24"/>
          <w:szCs w:val="24"/>
        </w:rPr>
        <w:t xml:space="preserve"> отмечают высокий уровень </w:t>
      </w:r>
      <w:r w:rsidR="001A0FCD" w:rsidRPr="00EA1472">
        <w:rPr>
          <w:rFonts w:ascii="Times New Roman" w:hAnsi="Times New Roman" w:cs="Times New Roman"/>
          <w:sz w:val="24"/>
          <w:szCs w:val="24"/>
        </w:rPr>
        <w:t>сосредоточения в городах федерального значения и крупных региональных центрах [</w:t>
      </w:r>
      <w:r w:rsidR="00EA1472" w:rsidRPr="00EA1472">
        <w:rPr>
          <w:rFonts w:ascii="Times New Roman" w:hAnsi="Times New Roman" w:cs="Times New Roman"/>
          <w:sz w:val="24"/>
          <w:szCs w:val="24"/>
        </w:rPr>
        <w:t>4</w:t>
      </w:r>
      <w:r w:rsidR="001A0FCD" w:rsidRPr="00EA1472">
        <w:rPr>
          <w:rFonts w:ascii="Times New Roman" w:hAnsi="Times New Roman" w:cs="Times New Roman"/>
          <w:sz w:val="24"/>
          <w:szCs w:val="24"/>
        </w:rPr>
        <w:t>]. Причин вызываю</w:t>
      </w:r>
      <w:r w:rsidR="00791C80" w:rsidRPr="00EA1472">
        <w:rPr>
          <w:rFonts w:ascii="Times New Roman" w:hAnsi="Times New Roman" w:cs="Times New Roman"/>
          <w:sz w:val="24"/>
          <w:szCs w:val="24"/>
        </w:rPr>
        <w:t>щих высокий уровень концентрации может быть множество, однако наиболее весомой является сосредоточение финансовых и страховых организаций в данных территориях.</w:t>
      </w:r>
      <w:r w:rsidR="00561020" w:rsidRPr="00EA1472">
        <w:rPr>
          <w:rFonts w:ascii="Times New Roman" w:hAnsi="Times New Roman" w:cs="Times New Roman"/>
          <w:sz w:val="24"/>
          <w:szCs w:val="24"/>
        </w:rPr>
        <w:t xml:space="preserve"> Наличие высокого уровня страховой активности  в крупных городских поселениях и региональных центрах объясняется, в том числе высоким уровнем развития банковской и финансовой сферы, более высокими показателями качества жизни и более высоким интересов населения к страховому продукту и т.д.</w:t>
      </w:r>
      <w:r w:rsidR="00791C80" w:rsidRPr="00EA1472">
        <w:rPr>
          <w:rFonts w:ascii="Times New Roman" w:hAnsi="Times New Roman" w:cs="Times New Roman"/>
          <w:sz w:val="24"/>
          <w:szCs w:val="24"/>
        </w:rPr>
        <w:t xml:space="preserve"> Оценка по раду показателей социально-экономического развития демонстрирует, что тенденция</w:t>
      </w:r>
      <w:r w:rsidR="00561020" w:rsidRPr="00EA1472">
        <w:rPr>
          <w:rFonts w:ascii="Times New Roman" w:hAnsi="Times New Roman" w:cs="Times New Roman"/>
          <w:sz w:val="24"/>
          <w:szCs w:val="24"/>
        </w:rPr>
        <w:t xml:space="preserve"> концентрации</w:t>
      </w:r>
      <w:r w:rsidR="00791C80" w:rsidRPr="00EA1472">
        <w:rPr>
          <w:rFonts w:ascii="Times New Roman" w:hAnsi="Times New Roman" w:cs="Times New Roman"/>
          <w:sz w:val="24"/>
          <w:szCs w:val="24"/>
        </w:rPr>
        <w:t xml:space="preserve"> наблюдается и</w:t>
      </w:r>
      <w:r w:rsidR="00561020" w:rsidRPr="00EA1472">
        <w:rPr>
          <w:rFonts w:ascii="Times New Roman" w:hAnsi="Times New Roman" w:cs="Times New Roman"/>
          <w:sz w:val="24"/>
          <w:szCs w:val="24"/>
        </w:rPr>
        <w:t xml:space="preserve">в разрезе </w:t>
      </w:r>
      <w:r w:rsidR="00791C80" w:rsidRPr="00EA1472">
        <w:rPr>
          <w:rFonts w:ascii="Times New Roman" w:hAnsi="Times New Roman" w:cs="Times New Roman"/>
          <w:sz w:val="24"/>
          <w:szCs w:val="24"/>
        </w:rPr>
        <w:t>други</w:t>
      </w:r>
      <w:r w:rsidR="00561020" w:rsidRPr="00EA1472">
        <w:rPr>
          <w:rFonts w:ascii="Times New Roman" w:hAnsi="Times New Roman" w:cs="Times New Roman"/>
          <w:sz w:val="24"/>
          <w:szCs w:val="24"/>
        </w:rPr>
        <w:t xml:space="preserve">х </w:t>
      </w:r>
      <w:r w:rsidR="00791C80" w:rsidRPr="00EA1472">
        <w:rPr>
          <w:rFonts w:ascii="Times New Roman" w:hAnsi="Times New Roman" w:cs="Times New Roman"/>
          <w:sz w:val="24"/>
          <w:szCs w:val="24"/>
        </w:rPr>
        <w:t>отрасл</w:t>
      </w:r>
      <w:r w:rsidR="00561020" w:rsidRPr="00EA1472">
        <w:rPr>
          <w:rFonts w:ascii="Times New Roman" w:hAnsi="Times New Roman" w:cs="Times New Roman"/>
          <w:sz w:val="24"/>
          <w:szCs w:val="24"/>
        </w:rPr>
        <w:t xml:space="preserve">ей </w:t>
      </w:r>
      <w:r w:rsidRPr="00EA1472">
        <w:rPr>
          <w:rFonts w:ascii="Times New Roman" w:hAnsi="Times New Roman" w:cs="Times New Roman"/>
          <w:sz w:val="24"/>
          <w:szCs w:val="24"/>
        </w:rPr>
        <w:t>[</w:t>
      </w:r>
      <w:r w:rsidR="00EA1472" w:rsidRPr="00EA1472">
        <w:rPr>
          <w:rFonts w:ascii="Times New Roman" w:hAnsi="Times New Roman" w:cs="Times New Roman"/>
          <w:sz w:val="24"/>
          <w:szCs w:val="24"/>
        </w:rPr>
        <w:t>5</w:t>
      </w:r>
      <w:r w:rsidRPr="00EA1472">
        <w:rPr>
          <w:rFonts w:ascii="Times New Roman" w:hAnsi="Times New Roman" w:cs="Times New Roman"/>
          <w:sz w:val="24"/>
          <w:szCs w:val="24"/>
        </w:rPr>
        <w:t>].</w:t>
      </w:r>
      <w:r w:rsidRPr="00F91299">
        <w:rPr>
          <w:rFonts w:ascii="Times New Roman" w:hAnsi="Times New Roman" w:cs="Times New Roman"/>
          <w:sz w:val="24"/>
          <w:szCs w:val="24"/>
        </w:rPr>
        <w:t xml:space="preserve"> </w:t>
      </w:r>
    </w:p>
    <w:p w:rsidR="00791C80" w:rsidRPr="00744F91" w:rsidRDefault="00791C80" w:rsidP="00744F9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Страховая отрасль, являясь наиболее динамично развивающейся на современном этапе, обладает высоким уровнем мобильности, который позволяет </w:t>
      </w:r>
      <w:r>
        <w:rPr>
          <w:rFonts w:ascii="Times New Roman" w:hAnsi="Times New Roman" w:cs="Times New Roman"/>
          <w:sz w:val="24"/>
          <w:szCs w:val="24"/>
        </w:rPr>
        <w:lastRenderedPageBreak/>
        <w:t>увеличивать радиус доступности для других территорий Российской Федерации. Исследование страхового сектора по уровню концентрации и определение группы лидеров позволит оценить ореол сосредоточения отрасли и уровень доступности для остальных российских регионов.</w:t>
      </w:r>
      <w:r w:rsidR="00744F91">
        <w:rPr>
          <w:rFonts w:ascii="Times New Roman" w:hAnsi="Times New Roman" w:cs="Times New Roman"/>
          <w:sz w:val="24"/>
          <w:szCs w:val="24"/>
        </w:rPr>
        <w:t xml:space="preserve"> В современных исследованиях отмечается, что наличие концентрационного эффекта в страховом рынке может оказывать отрицательное воздействие на уровень распространения и уровень доступности страховых продуктов </w:t>
      </w:r>
      <w:r w:rsidR="00744F91" w:rsidRPr="00744F91">
        <w:rPr>
          <w:rFonts w:ascii="Times New Roman" w:hAnsi="Times New Roman" w:cs="Times New Roman"/>
          <w:sz w:val="24"/>
          <w:szCs w:val="24"/>
        </w:rPr>
        <w:t>[</w:t>
      </w:r>
      <w:r w:rsidR="00EA1472">
        <w:rPr>
          <w:rFonts w:ascii="Times New Roman" w:hAnsi="Times New Roman" w:cs="Times New Roman"/>
          <w:sz w:val="24"/>
          <w:szCs w:val="24"/>
        </w:rPr>
        <w:t>6, 7</w:t>
      </w:r>
      <w:r w:rsidR="00744F91" w:rsidRPr="00744F91">
        <w:rPr>
          <w:rFonts w:ascii="Times New Roman" w:hAnsi="Times New Roman" w:cs="Times New Roman"/>
          <w:sz w:val="24"/>
          <w:szCs w:val="24"/>
        </w:rPr>
        <w:t>].</w:t>
      </w:r>
    </w:p>
    <w:p w:rsidR="00791C80" w:rsidRDefault="00791C80" w:rsidP="00791C8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рамках данного исследования объектом исследования выступает страховая отрасль, предметом является </w:t>
      </w:r>
      <w:r w:rsidR="00E177EC">
        <w:rPr>
          <w:rFonts w:ascii="Times New Roman" w:hAnsi="Times New Roman" w:cs="Times New Roman"/>
          <w:sz w:val="24"/>
          <w:szCs w:val="24"/>
        </w:rPr>
        <w:t>оценка уровня концентрации отрасли в разрез</w:t>
      </w:r>
      <w:r w:rsidR="00561020">
        <w:rPr>
          <w:rFonts w:ascii="Times New Roman" w:hAnsi="Times New Roman" w:cs="Times New Roman"/>
          <w:sz w:val="24"/>
          <w:szCs w:val="24"/>
        </w:rPr>
        <w:t>е регионов Российских регионов и выделение регионов, занимающих лидирующие позиции</w:t>
      </w:r>
    </w:p>
    <w:p w:rsidR="00C60A1F" w:rsidRDefault="00025118" w:rsidP="00791C80">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Методика и методология. </w:t>
      </w:r>
    </w:p>
    <w:p w:rsidR="00791C80" w:rsidRDefault="0079722A" w:rsidP="00791C8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рамках оценки деятельности  страхового рынка недостаточно внимания уделяется вопросам, связанным с высоким уровнем неравномерности в развитии. Наличие высокого уровня концентрации в крупных региональных центрах сокращает уровень развития региональных страховых сегментов.  В рамках поставленной в исследовании задачи особую актуальность приобретают вопросы  развития страхового рынка и ориентации страхового продукта на потребности населения.</w:t>
      </w:r>
    </w:p>
    <w:p w:rsidR="0079722A" w:rsidRDefault="0079722A" w:rsidP="00402F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Обобщая мнение исследователей по процессу функционирования страхового рынка в Российской Федерации</w:t>
      </w:r>
      <w:r w:rsidR="00402FB1">
        <w:rPr>
          <w:rFonts w:ascii="Times New Roman" w:hAnsi="Times New Roman" w:cs="Times New Roman"/>
          <w:sz w:val="24"/>
          <w:szCs w:val="24"/>
        </w:rPr>
        <w:t xml:space="preserve">, отмечается следующие основные направления, которые определяют страховую деятельность. Отмечается высокий уровень интегрированности страховой отрасли в разрезе которого происходит процесс объединения страховщиков, страхователей и страховых продуктов </w:t>
      </w:r>
      <w:r w:rsidR="00402FB1" w:rsidRPr="00402FB1">
        <w:rPr>
          <w:rFonts w:ascii="Times New Roman" w:hAnsi="Times New Roman" w:cs="Times New Roman"/>
          <w:sz w:val="24"/>
          <w:szCs w:val="24"/>
        </w:rPr>
        <w:t>[</w:t>
      </w:r>
      <w:r w:rsidR="00EA1472">
        <w:rPr>
          <w:rFonts w:ascii="Times New Roman" w:hAnsi="Times New Roman" w:cs="Times New Roman"/>
          <w:sz w:val="24"/>
          <w:szCs w:val="24"/>
        </w:rPr>
        <w:t>8</w:t>
      </w:r>
      <w:r w:rsidR="00402FB1" w:rsidRPr="00402FB1">
        <w:rPr>
          <w:rFonts w:ascii="Times New Roman" w:hAnsi="Times New Roman" w:cs="Times New Roman"/>
          <w:sz w:val="24"/>
          <w:szCs w:val="24"/>
        </w:rPr>
        <w:t>]</w:t>
      </w:r>
      <w:r w:rsidR="00402FB1">
        <w:rPr>
          <w:rFonts w:ascii="Times New Roman" w:hAnsi="Times New Roman" w:cs="Times New Roman"/>
          <w:sz w:val="24"/>
          <w:szCs w:val="24"/>
        </w:rPr>
        <w:t xml:space="preserve">. Особого внимания, заслуживает сосредоточение страховых организаций в отдельных регионах Российской Федерации, который заслуживает оценки и формирования направлений для сглаживания данного процесса. </w:t>
      </w:r>
    </w:p>
    <w:p w:rsidR="00402FB1" w:rsidRDefault="00402FB1" w:rsidP="00402F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проведения исследования концентрации страховой деятельности и определени</w:t>
      </w:r>
      <w:r w:rsidR="00A43D8F">
        <w:rPr>
          <w:rFonts w:ascii="Times New Roman" w:hAnsi="Times New Roman" w:cs="Times New Roman"/>
          <w:sz w:val="24"/>
          <w:szCs w:val="24"/>
        </w:rPr>
        <w:t>я</w:t>
      </w:r>
      <w:r>
        <w:rPr>
          <w:rFonts w:ascii="Times New Roman" w:hAnsi="Times New Roman" w:cs="Times New Roman"/>
          <w:sz w:val="24"/>
          <w:szCs w:val="24"/>
        </w:rPr>
        <w:t xml:space="preserve"> основных трендов</w:t>
      </w:r>
      <w:r w:rsidR="00A43D8F">
        <w:rPr>
          <w:rFonts w:ascii="Times New Roman" w:hAnsi="Times New Roman" w:cs="Times New Roman"/>
          <w:sz w:val="24"/>
          <w:szCs w:val="24"/>
        </w:rPr>
        <w:t>, а также выделение</w:t>
      </w:r>
      <w:r>
        <w:rPr>
          <w:rFonts w:ascii="Times New Roman" w:hAnsi="Times New Roman" w:cs="Times New Roman"/>
          <w:sz w:val="24"/>
          <w:szCs w:val="24"/>
        </w:rPr>
        <w:t xml:space="preserve"> территори</w:t>
      </w:r>
      <w:r w:rsidR="00A43D8F">
        <w:rPr>
          <w:rFonts w:ascii="Times New Roman" w:hAnsi="Times New Roman" w:cs="Times New Roman"/>
          <w:sz w:val="24"/>
          <w:szCs w:val="24"/>
        </w:rPr>
        <w:t>й</w:t>
      </w:r>
      <w:r>
        <w:rPr>
          <w:rFonts w:ascii="Times New Roman" w:hAnsi="Times New Roman" w:cs="Times New Roman"/>
          <w:sz w:val="24"/>
          <w:szCs w:val="24"/>
        </w:rPr>
        <w:t>, являющихся центрами сосредоточения</w:t>
      </w:r>
      <w:r w:rsidR="00A43D8F">
        <w:rPr>
          <w:rFonts w:ascii="Times New Roman" w:hAnsi="Times New Roman" w:cs="Times New Roman"/>
          <w:sz w:val="24"/>
          <w:szCs w:val="24"/>
        </w:rPr>
        <w:t xml:space="preserve"> страховой деятельности,</w:t>
      </w:r>
      <w:r>
        <w:rPr>
          <w:rFonts w:ascii="Times New Roman" w:hAnsi="Times New Roman" w:cs="Times New Roman"/>
          <w:sz w:val="24"/>
          <w:szCs w:val="24"/>
        </w:rPr>
        <w:t xml:space="preserve"> проведена оценка отраслевой структуры валовой добавле</w:t>
      </w:r>
      <w:r w:rsidR="006A4AD2">
        <w:rPr>
          <w:rFonts w:ascii="Times New Roman" w:hAnsi="Times New Roman" w:cs="Times New Roman"/>
          <w:sz w:val="24"/>
          <w:szCs w:val="24"/>
        </w:rPr>
        <w:t>н</w:t>
      </w:r>
      <w:r>
        <w:rPr>
          <w:rFonts w:ascii="Times New Roman" w:hAnsi="Times New Roman" w:cs="Times New Roman"/>
          <w:sz w:val="24"/>
          <w:szCs w:val="24"/>
        </w:rPr>
        <w:t>но</w:t>
      </w:r>
      <w:r w:rsidR="006A4AD2">
        <w:rPr>
          <w:rFonts w:ascii="Times New Roman" w:hAnsi="Times New Roman" w:cs="Times New Roman"/>
          <w:sz w:val="24"/>
          <w:szCs w:val="24"/>
        </w:rPr>
        <w:t>й</w:t>
      </w:r>
      <w:r>
        <w:rPr>
          <w:rFonts w:ascii="Times New Roman" w:hAnsi="Times New Roman" w:cs="Times New Roman"/>
          <w:sz w:val="24"/>
          <w:szCs w:val="24"/>
        </w:rPr>
        <w:t xml:space="preserve"> стоимости по направлениям: страховая и финансовая деятельность в разрезе российских регионов. </w:t>
      </w:r>
      <w:r w:rsidR="00561020">
        <w:rPr>
          <w:rFonts w:ascii="Times New Roman" w:hAnsi="Times New Roman" w:cs="Times New Roman"/>
          <w:sz w:val="24"/>
          <w:szCs w:val="24"/>
        </w:rPr>
        <w:t xml:space="preserve"> Статистические данные для проведения исследовательских работ получены на основании данных информационной базы Росстата, а также в открытых Интернет-источниках.</w:t>
      </w:r>
    </w:p>
    <w:p w:rsidR="00A43D8F" w:rsidRDefault="00A43D8F" w:rsidP="00402F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рамках  основного аналитического инструмента  используется процедура ранжирования массива российских регионов по исследуемому индикатору, проведение которой позволяет выделить группы регионов по уровню развития данного показателя. </w:t>
      </w:r>
      <w:r w:rsidR="0005353C">
        <w:rPr>
          <w:rFonts w:ascii="Times New Roman" w:hAnsi="Times New Roman" w:cs="Times New Roman"/>
          <w:sz w:val="24"/>
          <w:szCs w:val="24"/>
        </w:rPr>
        <w:t xml:space="preserve">К методам используемым для проведения исследовательских работ отнесены сравнительный анализ, в результате выполнения были выявлены характеристики регионов по рассматриваемым показателям и проведена процедура сравнения в различные периоды времени.  </w:t>
      </w:r>
    </w:p>
    <w:p w:rsidR="0005353C" w:rsidRDefault="0005353C" w:rsidP="00402F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Использование предложенного инструментария позволит определить общие или схожие в исследуемых объектах по рассматриваемы показателям определить закономерности и сделать выводы. </w:t>
      </w:r>
    </w:p>
    <w:p w:rsidR="0079722A" w:rsidRDefault="0005353C" w:rsidP="0079722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Полученные в исследовании результаты могут быть полезны и определении стратегии или приоритетных направлений развития страховой отрасли и послужить основой для формирования направлений развития. </w:t>
      </w:r>
    </w:p>
    <w:p w:rsidR="0005353C" w:rsidRDefault="0005353C" w:rsidP="0079722A">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Результаты. </w:t>
      </w:r>
    </w:p>
    <w:p w:rsidR="0055585F" w:rsidRPr="0055585F" w:rsidRDefault="0055585F" w:rsidP="0079722A">
      <w:pPr>
        <w:spacing w:after="0" w:line="240" w:lineRule="auto"/>
        <w:ind w:firstLine="709"/>
        <w:jc w:val="both"/>
        <w:rPr>
          <w:rFonts w:ascii="Times New Roman" w:hAnsi="Times New Roman" w:cs="Times New Roman"/>
          <w:sz w:val="24"/>
          <w:szCs w:val="24"/>
        </w:rPr>
      </w:pPr>
      <w:r w:rsidRPr="0055585F">
        <w:rPr>
          <w:rFonts w:ascii="Times New Roman" w:hAnsi="Times New Roman" w:cs="Times New Roman"/>
          <w:sz w:val="24"/>
          <w:szCs w:val="24"/>
        </w:rPr>
        <w:t xml:space="preserve">В рамках </w:t>
      </w:r>
      <w:r>
        <w:rPr>
          <w:rFonts w:ascii="Times New Roman" w:hAnsi="Times New Roman" w:cs="Times New Roman"/>
          <w:sz w:val="24"/>
          <w:szCs w:val="24"/>
        </w:rPr>
        <w:t>исследователь</w:t>
      </w:r>
      <w:r w:rsidR="00EA1472">
        <w:rPr>
          <w:rFonts w:ascii="Times New Roman" w:hAnsi="Times New Roman" w:cs="Times New Roman"/>
          <w:sz w:val="24"/>
          <w:szCs w:val="24"/>
        </w:rPr>
        <w:t>ск</w:t>
      </w:r>
      <w:r>
        <w:rPr>
          <w:rFonts w:ascii="Times New Roman" w:hAnsi="Times New Roman" w:cs="Times New Roman"/>
          <w:sz w:val="24"/>
          <w:szCs w:val="24"/>
        </w:rPr>
        <w:t xml:space="preserve">ой работы </w:t>
      </w:r>
      <w:r w:rsidR="00EA1472">
        <w:rPr>
          <w:rFonts w:ascii="Times New Roman" w:hAnsi="Times New Roman" w:cs="Times New Roman"/>
          <w:sz w:val="24"/>
          <w:szCs w:val="24"/>
        </w:rPr>
        <w:t xml:space="preserve">проводилась оценка доли ВДС страхового и финансового сектора в разрезе российских регионов. Регионы Российской Федерации были сгруппированы в 3 группы: высокая доля ВДС страхового и финансового сектора – регионы лидеры, низкая – регионы аутсайдеры и средняя. Внимание уделялось уровню концентрации страхового и финансового рынка (таблица 1). </w:t>
      </w:r>
    </w:p>
    <w:p w:rsidR="00B17825" w:rsidRPr="0005353C" w:rsidRDefault="00B17825" w:rsidP="0079722A">
      <w:pPr>
        <w:spacing w:after="0" w:line="240" w:lineRule="auto"/>
        <w:ind w:firstLine="709"/>
        <w:jc w:val="both"/>
        <w:rPr>
          <w:rFonts w:ascii="Times New Roman" w:hAnsi="Times New Roman" w:cs="Times New Roman"/>
          <w:b/>
          <w:sz w:val="24"/>
          <w:szCs w:val="24"/>
        </w:rPr>
      </w:pPr>
    </w:p>
    <w:p w:rsidR="008C2892" w:rsidRDefault="00EA4672" w:rsidP="00353244">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lastRenderedPageBreak/>
        <w:t xml:space="preserve">Таблица 1. </w:t>
      </w:r>
      <w:r w:rsidR="008C2892" w:rsidRPr="008C2892">
        <w:rPr>
          <w:rFonts w:ascii="Times New Roman" w:eastAsia="DejaVu Sans" w:hAnsi="Times New Roman" w:cs="Times New Roman"/>
          <w:b/>
          <w:kern w:val="2"/>
          <w:sz w:val="24"/>
          <w:szCs w:val="24"/>
          <w:lang w:eastAsia="ru-RU"/>
        </w:rPr>
        <w:t>ВДС страхового и финансового сектора</w:t>
      </w:r>
      <w:r w:rsidR="008C2892">
        <w:rPr>
          <w:rFonts w:ascii="Times New Roman" w:eastAsia="DejaVu Sans" w:hAnsi="Times New Roman" w:cs="Times New Roman"/>
          <w:b/>
          <w:kern w:val="2"/>
          <w:sz w:val="24"/>
          <w:szCs w:val="24"/>
          <w:lang w:eastAsia="ru-RU"/>
        </w:rPr>
        <w:t xml:space="preserve">, 2020 г. </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0"/>
        <w:gridCol w:w="7411"/>
      </w:tblGrid>
      <w:tr w:rsidR="008C2892" w:rsidRPr="008C2892" w:rsidTr="007304A1">
        <w:trPr>
          <w:trHeight w:val="525"/>
        </w:trPr>
        <w:tc>
          <w:tcPr>
            <w:tcW w:w="1520"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ВДС финансового и страхового с</w:t>
            </w:r>
            <w:r w:rsidR="007304A1">
              <w:rPr>
                <w:rFonts w:ascii="Times New Roman" w:eastAsia="Times New Roman" w:hAnsi="Times New Roman" w:cs="Times New Roman"/>
                <w:color w:val="000000"/>
                <w:spacing w:val="8"/>
                <w:shd w:val="clear" w:color="auto" w:fill="FFFFFF"/>
                <w:lang w:eastAsia="ru-RU"/>
              </w:rPr>
              <w:t>е</w:t>
            </w:r>
            <w:r>
              <w:rPr>
                <w:rFonts w:ascii="Times New Roman" w:eastAsia="Times New Roman" w:hAnsi="Times New Roman" w:cs="Times New Roman"/>
                <w:color w:val="000000"/>
                <w:spacing w:val="8"/>
                <w:shd w:val="clear" w:color="auto" w:fill="FFFFFF"/>
                <w:lang w:eastAsia="ru-RU"/>
              </w:rPr>
              <w:t>ктора</w:t>
            </w:r>
          </w:p>
        </w:tc>
        <w:tc>
          <w:tcPr>
            <w:tcW w:w="7411"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регионы</w:t>
            </w:r>
          </w:p>
        </w:tc>
      </w:tr>
      <w:tr w:rsidR="008C2892" w:rsidRPr="008C2892" w:rsidTr="007304A1">
        <w:trPr>
          <w:trHeight w:val="525"/>
        </w:trPr>
        <w:tc>
          <w:tcPr>
            <w:tcW w:w="1520"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sidRPr="008C2892">
              <w:rPr>
                <w:rFonts w:ascii="Times New Roman" w:eastAsia="Times New Roman" w:hAnsi="Times New Roman" w:cs="Times New Roman"/>
                <w:color w:val="000000"/>
                <w:spacing w:val="8"/>
                <w:shd w:val="clear" w:color="auto" w:fill="FFFFFF"/>
                <w:lang w:eastAsia="ru-RU"/>
              </w:rPr>
              <w:t>Высокий</w:t>
            </w:r>
          </w:p>
        </w:tc>
        <w:tc>
          <w:tcPr>
            <w:tcW w:w="7411"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sidRPr="008C2892">
              <w:rPr>
                <w:rFonts w:ascii="Times New Roman" w:eastAsia="Times New Roman" w:hAnsi="Times New Roman" w:cs="Times New Roman"/>
                <w:color w:val="000000"/>
                <w:spacing w:val="8"/>
                <w:shd w:val="clear" w:color="auto" w:fill="FFFFFF"/>
                <w:lang w:eastAsia="ru-RU"/>
              </w:rPr>
              <w:t>г. Москва, г. Санкт-Петербург, Республика Алтай, Московская область, Кировская область, Ивановская область, Смоленская область, Республика Марий Эл, Чувашская Республика, Самарская область, Владимирская область, Воронежская область, Рязанская область, Архангельская область без автономного округа, Вологодская область, Ставропольский край, Республика Татарстан, Пермский край, Ульяновская область, Кемеровская область, Томская область, Амурская область</w:t>
            </w:r>
          </w:p>
        </w:tc>
      </w:tr>
      <w:tr w:rsidR="008C2892" w:rsidRPr="008C2892" w:rsidTr="007304A1">
        <w:trPr>
          <w:trHeight w:val="525"/>
        </w:trPr>
        <w:tc>
          <w:tcPr>
            <w:tcW w:w="1520"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Количество </w:t>
            </w:r>
          </w:p>
        </w:tc>
        <w:tc>
          <w:tcPr>
            <w:tcW w:w="7411" w:type="dxa"/>
            <w:shd w:val="clear" w:color="auto" w:fill="auto"/>
            <w:noWrap/>
            <w:vAlign w:val="center"/>
            <w:hideMark/>
          </w:tcPr>
          <w:p w:rsidR="008C2892" w:rsidRP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22</w:t>
            </w:r>
          </w:p>
        </w:tc>
      </w:tr>
      <w:tr w:rsidR="008C2892" w:rsidRPr="008C2892" w:rsidTr="007304A1">
        <w:trPr>
          <w:trHeight w:val="525"/>
        </w:trPr>
        <w:tc>
          <w:tcPr>
            <w:tcW w:w="1520" w:type="dxa"/>
            <w:shd w:val="clear" w:color="auto" w:fill="auto"/>
            <w:noWrap/>
            <w:vAlign w:val="center"/>
            <w:hideMark/>
          </w:tcPr>
          <w:p w:rsid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процент</w:t>
            </w:r>
          </w:p>
        </w:tc>
        <w:tc>
          <w:tcPr>
            <w:tcW w:w="7411" w:type="dxa"/>
            <w:shd w:val="clear" w:color="auto" w:fill="auto"/>
            <w:noWrap/>
            <w:vAlign w:val="center"/>
            <w:hideMark/>
          </w:tcPr>
          <w:p w:rsidR="008C2892" w:rsidRDefault="008C2892" w:rsidP="008C2892">
            <w:pPr>
              <w:spacing w:after="0" w:line="240" w:lineRule="auto"/>
              <w:jc w:val="center"/>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25</w:t>
            </w:r>
          </w:p>
        </w:tc>
      </w:tr>
    </w:tbl>
    <w:p w:rsidR="00EA4672" w:rsidRPr="00590F6E" w:rsidRDefault="00EA4672" w:rsidP="00353244">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8C2892">
        <w:rPr>
          <w:rFonts w:ascii="Times New Roman" w:eastAsia="DejaVu Sans" w:hAnsi="Times New Roman" w:cs="Times New Roman"/>
          <w:kern w:val="1"/>
          <w:lang w:eastAsia="ru-RU"/>
        </w:rPr>
        <w:t xml:space="preserve">данные Росстата </w:t>
      </w:r>
      <w:r w:rsidRPr="00590F6E">
        <w:rPr>
          <w:rFonts w:ascii="Times New Roman" w:eastAsia="DejaVu Sans" w:hAnsi="Times New Roman" w:cs="Times New Roman"/>
          <w:kern w:val="1"/>
          <w:lang w:eastAsia="ru-RU"/>
        </w:rPr>
        <w:t xml:space="preserve"> </w:t>
      </w:r>
      <w:r w:rsidRPr="00590F6E">
        <w:rPr>
          <w:rFonts w:ascii="Times New Roman" w:eastAsia="DejaVu Sans" w:hAnsi="Times New Roman" w:cs="Times New Roman"/>
          <w:color w:val="000000"/>
          <w:kern w:val="1"/>
          <w:lang w:eastAsia="ru-RU"/>
        </w:rPr>
        <w:t xml:space="preserve">URL: </w:t>
      </w:r>
      <w:r w:rsidR="008C2892" w:rsidRPr="008C2892">
        <w:rPr>
          <w:rFonts w:ascii="Times New Roman" w:eastAsia="DejaVu Sans" w:hAnsi="Times New Roman" w:cs="Times New Roman"/>
          <w:kern w:val="1"/>
          <w:lang w:eastAsia="ru-RU"/>
        </w:rPr>
        <w:t>https://rosstat.gov.ru/</w:t>
      </w:r>
    </w:p>
    <w:p w:rsidR="007304A1" w:rsidRDefault="007304A1"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5F5AF9" w:rsidRDefault="007304A1" w:rsidP="007304A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Полученные результаты по регионам лидерам выявили, что 25% российских регионов обладают высоким уровнем ВДС  страхового и финансового сектора.  Однако, в рамках данной группы значительный отрыв наблюдается в показателях городе федерального значения – г. Москва (рисунок 1). </w:t>
      </w:r>
    </w:p>
    <w:p w:rsidR="007304A1" w:rsidRDefault="007304A1" w:rsidP="00075649">
      <w:pPr>
        <w:spacing w:after="0" w:line="240" w:lineRule="auto"/>
        <w:jc w:val="center"/>
        <w:rPr>
          <w:rFonts w:ascii="Times New Roman" w:hAnsi="Times New Roman" w:cs="Times New Roman"/>
          <w:sz w:val="24"/>
          <w:szCs w:val="24"/>
        </w:rPr>
      </w:pPr>
    </w:p>
    <w:p w:rsidR="00EA4672" w:rsidRPr="001B5953" w:rsidRDefault="00075649" w:rsidP="00075649">
      <w:pPr>
        <w:spacing w:after="0" w:line="240" w:lineRule="auto"/>
        <w:jc w:val="center"/>
        <w:rPr>
          <w:rFonts w:ascii="Times New Roman" w:hAnsi="Times New Roman" w:cs="Times New Roman"/>
          <w:sz w:val="24"/>
          <w:szCs w:val="24"/>
        </w:rPr>
      </w:pPr>
      <w:r w:rsidRPr="00075649">
        <w:rPr>
          <w:rFonts w:ascii="Times New Roman" w:hAnsi="Times New Roman" w:cs="Times New Roman"/>
          <w:noProof/>
          <w:sz w:val="24"/>
          <w:szCs w:val="24"/>
          <w:lang w:eastAsia="ru-RU"/>
        </w:rPr>
        <w:drawing>
          <wp:inline distT="0" distB="0" distL="0" distR="0">
            <wp:extent cx="6119063" cy="3116275"/>
            <wp:effectExtent l="19050" t="0" r="15037" b="7925"/>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17825" w:rsidRPr="00590F6E" w:rsidRDefault="00B17825" w:rsidP="00B17825">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Pr>
          <w:rFonts w:ascii="Times New Roman" w:eastAsia="DejaVu Sans" w:hAnsi="Times New Roman" w:cs="Times New Roman"/>
          <w:kern w:val="1"/>
          <w:lang w:eastAsia="ru-RU"/>
        </w:rPr>
        <w:t xml:space="preserve">данные Росстата </w:t>
      </w:r>
      <w:r w:rsidRPr="00590F6E">
        <w:rPr>
          <w:rFonts w:ascii="Times New Roman" w:eastAsia="DejaVu Sans" w:hAnsi="Times New Roman" w:cs="Times New Roman"/>
          <w:kern w:val="1"/>
          <w:lang w:eastAsia="ru-RU"/>
        </w:rPr>
        <w:t xml:space="preserve"> </w:t>
      </w:r>
      <w:r w:rsidRPr="00590F6E">
        <w:rPr>
          <w:rFonts w:ascii="Times New Roman" w:eastAsia="DejaVu Sans" w:hAnsi="Times New Roman" w:cs="Times New Roman"/>
          <w:color w:val="000000"/>
          <w:kern w:val="1"/>
          <w:lang w:eastAsia="ru-RU"/>
        </w:rPr>
        <w:t xml:space="preserve">URL: </w:t>
      </w:r>
      <w:r w:rsidRPr="008C2892">
        <w:rPr>
          <w:rFonts w:ascii="Times New Roman" w:eastAsia="DejaVu Sans" w:hAnsi="Times New Roman" w:cs="Times New Roman"/>
          <w:kern w:val="1"/>
          <w:lang w:eastAsia="ru-RU"/>
        </w:rPr>
        <w:t>https://rosstat.gov.ru/</w:t>
      </w:r>
    </w:p>
    <w:p w:rsidR="00B17825" w:rsidRDefault="00B17825" w:rsidP="00353244">
      <w:pPr>
        <w:widowControl w:val="0"/>
        <w:suppressAutoHyphens/>
        <w:spacing w:after="0" w:line="240" w:lineRule="auto"/>
        <w:ind w:firstLine="709"/>
        <w:jc w:val="center"/>
        <w:rPr>
          <w:rFonts w:ascii="Times New Roman" w:hAnsi="Times New Roman" w:cs="Times New Roman"/>
          <w:sz w:val="24"/>
          <w:szCs w:val="24"/>
        </w:rPr>
      </w:pPr>
    </w:p>
    <w:p w:rsidR="00590F6E" w:rsidRDefault="00EA4672" w:rsidP="00353244">
      <w:pPr>
        <w:widowControl w:val="0"/>
        <w:suppressAutoHyphens/>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sz w:val="24"/>
          <w:szCs w:val="24"/>
        </w:rPr>
        <w:t xml:space="preserve">Рис. </w:t>
      </w:r>
      <w:r w:rsidR="00093BEC" w:rsidRPr="001B5953">
        <w:rPr>
          <w:rFonts w:ascii="Times New Roman" w:hAnsi="Times New Roman" w:cs="Times New Roman"/>
          <w:sz w:val="24"/>
          <w:szCs w:val="24"/>
        </w:rPr>
        <w:t>1</w:t>
      </w:r>
      <w:r w:rsidRPr="001B5953">
        <w:rPr>
          <w:rFonts w:ascii="Times New Roman" w:hAnsi="Times New Roman" w:cs="Times New Roman"/>
          <w:sz w:val="24"/>
          <w:szCs w:val="24"/>
        </w:rPr>
        <w:t xml:space="preserve">. </w:t>
      </w:r>
      <w:r w:rsidRPr="001B5953">
        <w:rPr>
          <w:rFonts w:ascii="Times New Roman" w:hAnsi="Times New Roman" w:cs="Times New Roman"/>
          <w:b/>
          <w:sz w:val="24"/>
          <w:szCs w:val="24"/>
        </w:rPr>
        <w:t>Динамика темпов роста</w:t>
      </w:r>
      <w:r w:rsidR="00813698">
        <w:rPr>
          <w:rFonts w:ascii="Times New Roman" w:hAnsi="Times New Roman" w:cs="Times New Roman"/>
          <w:b/>
          <w:sz w:val="24"/>
          <w:szCs w:val="24"/>
        </w:rPr>
        <w:t xml:space="preserve"> доли</w:t>
      </w:r>
      <w:r w:rsidRPr="001B5953">
        <w:rPr>
          <w:rFonts w:ascii="Times New Roman" w:hAnsi="Times New Roman" w:cs="Times New Roman"/>
          <w:b/>
          <w:sz w:val="24"/>
          <w:szCs w:val="24"/>
        </w:rPr>
        <w:t xml:space="preserve"> </w:t>
      </w:r>
      <w:r w:rsidR="00075649" w:rsidRPr="008C2892">
        <w:rPr>
          <w:rFonts w:ascii="Times New Roman" w:eastAsia="DejaVu Sans" w:hAnsi="Times New Roman" w:cs="Times New Roman"/>
          <w:b/>
          <w:kern w:val="2"/>
          <w:sz w:val="24"/>
          <w:szCs w:val="24"/>
          <w:lang w:eastAsia="ru-RU"/>
        </w:rPr>
        <w:t>ВДС страхового и финансового сектора</w:t>
      </w:r>
      <w:r w:rsidR="00075649">
        <w:rPr>
          <w:rFonts w:ascii="Times New Roman" w:eastAsia="DejaVu Sans" w:hAnsi="Times New Roman" w:cs="Times New Roman"/>
          <w:b/>
          <w:kern w:val="2"/>
          <w:sz w:val="24"/>
          <w:szCs w:val="24"/>
          <w:lang w:eastAsia="ru-RU"/>
        </w:rPr>
        <w:t xml:space="preserve"> </w:t>
      </w:r>
      <w:r w:rsidR="00075649">
        <w:rPr>
          <w:rFonts w:ascii="Times New Roman" w:eastAsia="DejaVu Sans" w:hAnsi="Times New Roman" w:cs="Times New Roman"/>
          <w:b/>
          <w:kern w:val="2"/>
          <w:sz w:val="24"/>
          <w:szCs w:val="24"/>
          <w:lang w:val="en-US" w:eastAsia="ru-RU"/>
        </w:rPr>
        <w:t>TOP</w:t>
      </w:r>
      <w:r w:rsidR="00075649" w:rsidRPr="00075649">
        <w:rPr>
          <w:rFonts w:ascii="Times New Roman" w:eastAsia="DejaVu Sans" w:hAnsi="Times New Roman" w:cs="Times New Roman"/>
          <w:b/>
          <w:kern w:val="2"/>
          <w:sz w:val="24"/>
          <w:szCs w:val="24"/>
          <w:lang w:eastAsia="ru-RU"/>
        </w:rPr>
        <w:t>-5 (</w:t>
      </w:r>
      <w:r w:rsidR="00075649">
        <w:rPr>
          <w:rFonts w:ascii="Times New Roman" w:eastAsia="DejaVu Sans" w:hAnsi="Times New Roman" w:cs="Times New Roman"/>
          <w:b/>
          <w:kern w:val="2"/>
          <w:sz w:val="24"/>
          <w:szCs w:val="24"/>
          <w:lang w:eastAsia="ru-RU"/>
        </w:rPr>
        <w:t>лидирующие регионы)</w:t>
      </w:r>
      <w:r w:rsidR="00B17825">
        <w:rPr>
          <w:rFonts w:ascii="Times New Roman" w:hAnsi="Times New Roman" w:cs="Times New Roman"/>
          <w:b/>
          <w:sz w:val="24"/>
          <w:szCs w:val="24"/>
        </w:rPr>
        <w:t>.</w:t>
      </w:r>
    </w:p>
    <w:p w:rsidR="00B17825" w:rsidRPr="00287F75" w:rsidRDefault="00B17825" w:rsidP="00353244">
      <w:pPr>
        <w:widowControl w:val="0"/>
        <w:suppressAutoHyphens/>
        <w:spacing w:after="0" w:line="240" w:lineRule="auto"/>
        <w:ind w:firstLine="709"/>
        <w:jc w:val="center"/>
        <w:rPr>
          <w:rFonts w:ascii="Times New Roman" w:eastAsia="DejaVu Sans" w:hAnsi="Times New Roman" w:cs="Times New Roman"/>
          <w:kern w:val="1"/>
          <w:lang w:eastAsia="ru-RU"/>
        </w:rPr>
      </w:pPr>
    </w:p>
    <w:p w:rsidR="00B17825" w:rsidRDefault="00B17825" w:rsidP="00B1782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Количество регионов в группе лидеров определяется на основании использования медианных показателей. </w:t>
      </w:r>
      <w:r w:rsidRPr="00B17825">
        <w:rPr>
          <w:rFonts w:ascii="Times New Roman" w:hAnsi="Times New Roman" w:cs="Times New Roman"/>
          <w:sz w:val="24"/>
          <w:szCs w:val="24"/>
        </w:rPr>
        <w:t>Среднее значение среди регионов лидеров</w:t>
      </w:r>
      <w:r>
        <w:rPr>
          <w:rFonts w:ascii="Times New Roman" w:hAnsi="Times New Roman" w:cs="Times New Roman"/>
          <w:sz w:val="24"/>
          <w:szCs w:val="24"/>
        </w:rPr>
        <w:t xml:space="preserve"> колеблется в интервале от 0,4-0,7. Исключение составляет г. Москва, отрываясь от общего массива лидирующих регионов. </w:t>
      </w:r>
      <w:r w:rsidR="007304A1">
        <w:rPr>
          <w:rFonts w:ascii="Times New Roman" w:hAnsi="Times New Roman" w:cs="Times New Roman"/>
          <w:sz w:val="24"/>
          <w:szCs w:val="24"/>
        </w:rPr>
        <w:t xml:space="preserve">Эффект концентрации наблюдаемый  по показателю </w:t>
      </w:r>
      <w:r w:rsidR="00813698">
        <w:rPr>
          <w:rFonts w:ascii="Times New Roman" w:hAnsi="Times New Roman" w:cs="Times New Roman"/>
          <w:sz w:val="24"/>
          <w:szCs w:val="24"/>
        </w:rPr>
        <w:t xml:space="preserve">доля </w:t>
      </w:r>
      <w:r w:rsidR="007304A1">
        <w:rPr>
          <w:rFonts w:ascii="Times New Roman" w:hAnsi="Times New Roman" w:cs="Times New Roman"/>
          <w:sz w:val="24"/>
          <w:szCs w:val="24"/>
        </w:rPr>
        <w:t>ВДС страхового и финансового сектора в разрезе российских регионов</w:t>
      </w:r>
      <w:r>
        <w:rPr>
          <w:rFonts w:ascii="Times New Roman" w:hAnsi="Times New Roman" w:cs="Times New Roman"/>
          <w:sz w:val="24"/>
          <w:szCs w:val="24"/>
        </w:rPr>
        <w:t>, имеет проявление в группе лидирующих регионов.</w:t>
      </w:r>
    </w:p>
    <w:p w:rsidR="00B17825" w:rsidRPr="001B5953" w:rsidRDefault="00B17825" w:rsidP="00B1782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Оценка динамики поведения исследуемого показателя в группе лидеров определила неустойчивый тренд поведения показателя </w:t>
      </w:r>
      <w:r w:rsidR="00813698">
        <w:rPr>
          <w:rFonts w:ascii="Times New Roman" w:hAnsi="Times New Roman" w:cs="Times New Roman"/>
          <w:sz w:val="24"/>
          <w:szCs w:val="24"/>
        </w:rPr>
        <w:t xml:space="preserve">доля </w:t>
      </w:r>
      <w:r>
        <w:rPr>
          <w:rFonts w:ascii="Times New Roman" w:hAnsi="Times New Roman" w:cs="Times New Roman"/>
          <w:sz w:val="24"/>
          <w:szCs w:val="24"/>
        </w:rPr>
        <w:t xml:space="preserve">ВДС страхового и финансового сектора. Подобный анализ динамики линии тренда проведен в разрезе регионов, имеющих наименьшие значения исследуемого показателя (рисунок 2). </w:t>
      </w:r>
    </w:p>
    <w:p w:rsidR="00075649" w:rsidRPr="00B17825" w:rsidRDefault="00075649" w:rsidP="00353244">
      <w:pPr>
        <w:spacing w:after="0" w:line="240" w:lineRule="auto"/>
        <w:ind w:firstLine="709"/>
        <w:jc w:val="both"/>
        <w:rPr>
          <w:rFonts w:ascii="Times New Roman" w:hAnsi="Times New Roman" w:cs="Times New Roman"/>
          <w:iCs/>
          <w:sz w:val="24"/>
          <w:szCs w:val="24"/>
        </w:rPr>
      </w:pPr>
    </w:p>
    <w:p w:rsidR="00075649" w:rsidRDefault="00075649" w:rsidP="00B17825">
      <w:pPr>
        <w:spacing w:after="0" w:line="240" w:lineRule="auto"/>
        <w:jc w:val="both"/>
        <w:rPr>
          <w:rFonts w:ascii="Times New Roman" w:hAnsi="Times New Roman" w:cs="Times New Roman"/>
          <w:iCs/>
          <w:sz w:val="24"/>
          <w:szCs w:val="24"/>
        </w:rPr>
      </w:pPr>
      <w:r w:rsidRPr="00075649">
        <w:rPr>
          <w:rFonts w:ascii="Times New Roman" w:hAnsi="Times New Roman" w:cs="Times New Roman"/>
          <w:iCs/>
          <w:noProof/>
          <w:sz w:val="24"/>
          <w:szCs w:val="24"/>
          <w:lang w:eastAsia="ru-RU"/>
        </w:rPr>
        <w:drawing>
          <wp:inline distT="0" distB="0" distL="0" distR="0">
            <wp:extent cx="6117158" cy="2721254"/>
            <wp:effectExtent l="19050" t="0" r="16942" b="2896"/>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17825" w:rsidRPr="00590F6E" w:rsidRDefault="00B17825" w:rsidP="00B17825">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Pr>
          <w:rFonts w:ascii="Times New Roman" w:eastAsia="DejaVu Sans" w:hAnsi="Times New Roman" w:cs="Times New Roman"/>
          <w:kern w:val="1"/>
          <w:lang w:eastAsia="ru-RU"/>
        </w:rPr>
        <w:t xml:space="preserve">данные Росстата </w:t>
      </w:r>
      <w:r w:rsidRPr="00590F6E">
        <w:rPr>
          <w:rFonts w:ascii="Times New Roman" w:eastAsia="DejaVu Sans" w:hAnsi="Times New Roman" w:cs="Times New Roman"/>
          <w:kern w:val="1"/>
          <w:lang w:eastAsia="ru-RU"/>
        </w:rPr>
        <w:t xml:space="preserve"> </w:t>
      </w:r>
      <w:r w:rsidRPr="00590F6E">
        <w:rPr>
          <w:rFonts w:ascii="Times New Roman" w:eastAsia="DejaVu Sans" w:hAnsi="Times New Roman" w:cs="Times New Roman"/>
          <w:color w:val="000000"/>
          <w:kern w:val="1"/>
          <w:lang w:eastAsia="ru-RU"/>
        </w:rPr>
        <w:t xml:space="preserve">URL: </w:t>
      </w:r>
      <w:r w:rsidRPr="008C2892">
        <w:rPr>
          <w:rFonts w:ascii="Times New Roman" w:eastAsia="DejaVu Sans" w:hAnsi="Times New Roman" w:cs="Times New Roman"/>
          <w:kern w:val="1"/>
          <w:lang w:eastAsia="ru-RU"/>
        </w:rPr>
        <w:t>https://rosstat.gov.ru/</w:t>
      </w:r>
    </w:p>
    <w:p w:rsidR="00B17825" w:rsidRPr="00B17825" w:rsidRDefault="00B17825" w:rsidP="00B17825">
      <w:pPr>
        <w:spacing w:after="0" w:line="240" w:lineRule="auto"/>
        <w:jc w:val="both"/>
        <w:rPr>
          <w:rFonts w:ascii="Times New Roman" w:hAnsi="Times New Roman" w:cs="Times New Roman"/>
          <w:iCs/>
          <w:sz w:val="24"/>
          <w:szCs w:val="24"/>
        </w:rPr>
      </w:pPr>
    </w:p>
    <w:p w:rsidR="00075649" w:rsidRDefault="00075649" w:rsidP="00075649">
      <w:pPr>
        <w:spacing w:after="0" w:line="240" w:lineRule="auto"/>
        <w:ind w:firstLine="709"/>
        <w:jc w:val="center"/>
        <w:rPr>
          <w:rFonts w:ascii="Times New Roman" w:eastAsia="DejaVu Sans" w:hAnsi="Times New Roman" w:cs="Times New Roman"/>
          <w:b/>
          <w:kern w:val="2"/>
          <w:sz w:val="24"/>
          <w:szCs w:val="24"/>
          <w:lang w:eastAsia="ru-RU"/>
        </w:rPr>
      </w:pPr>
      <w:r w:rsidRPr="001B5953">
        <w:rPr>
          <w:rFonts w:ascii="Times New Roman" w:hAnsi="Times New Roman" w:cs="Times New Roman"/>
          <w:sz w:val="24"/>
          <w:szCs w:val="24"/>
        </w:rPr>
        <w:t xml:space="preserve">Рис. </w:t>
      </w:r>
      <w:r>
        <w:rPr>
          <w:rFonts w:ascii="Times New Roman" w:hAnsi="Times New Roman" w:cs="Times New Roman"/>
          <w:sz w:val="24"/>
          <w:szCs w:val="24"/>
        </w:rPr>
        <w:t>2</w:t>
      </w:r>
      <w:r w:rsidRPr="001B5953">
        <w:rPr>
          <w:rFonts w:ascii="Times New Roman" w:hAnsi="Times New Roman" w:cs="Times New Roman"/>
          <w:sz w:val="24"/>
          <w:szCs w:val="24"/>
        </w:rPr>
        <w:t xml:space="preserve">. </w:t>
      </w:r>
      <w:r w:rsidRPr="001B5953">
        <w:rPr>
          <w:rFonts w:ascii="Times New Roman" w:hAnsi="Times New Roman" w:cs="Times New Roman"/>
          <w:b/>
          <w:sz w:val="24"/>
          <w:szCs w:val="24"/>
        </w:rPr>
        <w:t>Динамика темпов роста</w:t>
      </w:r>
      <w:r w:rsidR="00813698">
        <w:rPr>
          <w:rFonts w:ascii="Times New Roman" w:hAnsi="Times New Roman" w:cs="Times New Roman"/>
          <w:b/>
          <w:sz w:val="24"/>
          <w:szCs w:val="24"/>
        </w:rPr>
        <w:t xml:space="preserve"> доля </w:t>
      </w:r>
      <w:r w:rsidRPr="001B5953">
        <w:rPr>
          <w:rFonts w:ascii="Times New Roman" w:hAnsi="Times New Roman" w:cs="Times New Roman"/>
          <w:b/>
          <w:sz w:val="24"/>
          <w:szCs w:val="24"/>
        </w:rPr>
        <w:t xml:space="preserve"> </w:t>
      </w:r>
      <w:r w:rsidRPr="008C2892">
        <w:rPr>
          <w:rFonts w:ascii="Times New Roman" w:eastAsia="DejaVu Sans" w:hAnsi="Times New Roman" w:cs="Times New Roman"/>
          <w:b/>
          <w:kern w:val="2"/>
          <w:sz w:val="24"/>
          <w:szCs w:val="24"/>
          <w:lang w:eastAsia="ru-RU"/>
        </w:rPr>
        <w:t>ВДС страхового и финансового сектора</w:t>
      </w:r>
      <w:r>
        <w:rPr>
          <w:rFonts w:ascii="Times New Roman" w:eastAsia="DejaVu Sans" w:hAnsi="Times New Roman" w:cs="Times New Roman"/>
          <w:b/>
          <w:kern w:val="2"/>
          <w:sz w:val="24"/>
          <w:szCs w:val="24"/>
          <w:lang w:eastAsia="ru-RU"/>
        </w:rPr>
        <w:t xml:space="preserve"> </w:t>
      </w:r>
      <w:r>
        <w:rPr>
          <w:rFonts w:ascii="Times New Roman" w:eastAsia="DejaVu Sans" w:hAnsi="Times New Roman" w:cs="Times New Roman"/>
          <w:b/>
          <w:kern w:val="2"/>
          <w:sz w:val="24"/>
          <w:szCs w:val="24"/>
          <w:lang w:val="en-US" w:eastAsia="ru-RU"/>
        </w:rPr>
        <w:t>TOP</w:t>
      </w:r>
      <w:r w:rsidRPr="00075649">
        <w:rPr>
          <w:rFonts w:ascii="Times New Roman" w:eastAsia="DejaVu Sans" w:hAnsi="Times New Roman" w:cs="Times New Roman"/>
          <w:b/>
          <w:kern w:val="2"/>
          <w:sz w:val="24"/>
          <w:szCs w:val="24"/>
          <w:lang w:eastAsia="ru-RU"/>
        </w:rPr>
        <w:t>-5</w:t>
      </w:r>
      <w:r>
        <w:rPr>
          <w:rFonts w:ascii="Times New Roman" w:eastAsia="DejaVu Sans" w:hAnsi="Times New Roman" w:cs="Times New Roman"/>
          <w:b/>
          <w:kern w:val="2"/>
          <w:sz w:val="24"/>
          <w:szCs w:val="24"/>
          <w:lang w:eastAsia="ru-RU"/>
        </w:rPr>
        <w:t xml:space="preserve"> (аутсайдеры)</w:t>
      </w:r>
      <w:r w:rsidR="00B17825">
        <w:rPr>
          <w:rFonts w:ascii="Times New Roman" w:eastAsia="DejaVu Sans" w:hAnsi="Times New Roman" w:cs="Times New Roman"/>
          <w:b/>
          <w:kern w:val="2"/>
          <w:sz w:val="24"/>
          <w:szCs w:val="24"/>
          <w:lang w:eastAsia="ru-RU"/>
        </w:rPr>
        <w:t>.</w:t>
      </w:r>
    </w:p>
    <w:p w:rsidR="00B17825" w:rsidRDefault="00B17825" w:rsidP="00075649">
      <w:pPr>
        <w:spacing w:after="0" w:line="240" w:lineRule="auto"/>
        <w:ind w:firstLine="709"/>
        <w:jc w:val="center"/>
        <w:rPr>
          <w:rFonts w:ascii="Times New Roman" w:eastAsia="DejaVu Sans" w:hAnsi="Times New Roman" w:cs="Times New Roman"/>
          <w:b/>
          <w:kern w:val="2"/>
          <w:sz w:val="24"/>
          <w:szCs w:val="24"/>
          <w:lang w:eastAsia="ru-RU"/>
        </w:rPr>
      </w:pPr>
    </w:p>
    <w:p w:rsidR="00813698" w:rsidRDefault="00B17825" w:rsidP="00B17825">
      <w:pPr>
        <w:spacing w:after="0" w:line="240" w:lineRule="auto"/>
        <w:ind w:firstLine="709"/>
        <w:jc w:val="both"/>
        <w:rPr>
          <w:rFonts w:ascii="Times New Roman" w:eastAsia="DejaVu Sans" w:hAnsi="Times New Roman" w:cs="Times New Roman"/>
          <w:kern w:val="2"/>
          <w:sz w:val="24"/>
          <w:szCs w:val="24"/>
          <w:lang w:eastAsia="ru-RU"/>
        </w:rPr>
      </w:pPr>
      <w:r>
        <w:rPr>
          <w:rFonts w:ascii="Times New Roman" w:eastAsia="DejaVu Sans" w:hAnsi="Times New Roman" w:cs="Times New Roman"/>
          <w:kern w:val="2"/>
          <w:sz w:val="24"/>
          <w:szCs w:val="24"/>
          <w:lang w:eastAsia="ru-RU"/>
        </w:rPr>
        <w:t>Исследование динамики темпов роста</w:t>
      </w:r>
      <w:r w:rsidR="00813698">
        <w:rPr>
          <w:rFonts w:ascii="Times New Roman" w:eastAsia="DejaVu Sans" w:hAnsi="Times New Roman" w:cs="Times New Roman"/>
          <w:kern w:val="2"/>
          <w:sz w:val="24"/>
          <w:szCs w:val="24"/>
          <w:lang w:eastAsia="ru-RU"/>
        </w:rPr>
        <w:t xml:space="preserve"> доли</w:t>
      </w:r>
      <w:r>
        <w:rPr>
          <w:rFonts w:ascii="Times New Roman" w:eastAsia="DejaVu Sans" w:hAnsi="Times New Roman" w:cs="Times New Roman"/>
          <w:kern w:val="2"/>
          <w:sz w:val="24"/>
          <w:szCs w:val="24"/>
          <w:lang w:eastAsia="ru-RU"/>
        </w:rPr>
        <w:t xml:space="preserve"> ВДС страхового и финансового сектора в регионах аутсайдерах определило сравнительно более высокий уровень неустойчивости  в разрезе исследуемого показателя. Регионы аутсайдеры по данному показателю </w:t>
      </w:r>
      <w:r w:rsidR="00813698">
        <w:rPr>
          <w:rFonts w:ascii="Times New Roman" w:eastAsia="DejaVu Sans" w:hAnsi="Times New Roman" w:cs="Times New Roman"/>
          <w:kern w:val="2"/>
          <w:sz w:val="24"/>
          <w:szCs w:val="24"/>
          <w:lang w:eastAsia="ru-RU"/>
        </w:rPr>
        <w:t xml:space="preserve">имеют значительное количество нулевых показателей. </w:t>
      </w:r>
    </w:p>
    <w:p w:rsidR="00B17825" w:rsidRDefault="00813698" w:rsidP="00B17825">
      <w:pPr>
        <w:spacing w:after="0" w:line="240" w:lineRule="auto"/>
        <w:ind w:firstLine="709"/>
        <w:jc w:val="both"/>
        <w:rPr>
          <w:rFonts w:ascii="Times New Roman" w:eastAsia="DejaVu Sans" w:hAnsi="Times New Roman" w:cs="Times New Roman"/>
          <w:kern w:val="2"/>
          <w:sz w:val="24"/>
          <w:szCs w:val="24"/>
          <w:lang w:eastAsia="ru-RU"/>
        </w:rPr>
      </w:pPr>
      <w:r>
        <w:rPr>
          <w:rFonts w:ascii="Times New Roman" w:eastAsia="DejaVu Sans" w:hAnsi="Times New Roman" w:cs="Times New Roman"/>
          <w:kern w:val="2"/>
          <w:sz w:val="24"/>
          <w:szCs w:val="24"/>
          <w:lang w:eastAsia="ru-RU"/>
        </w:rPr>
        <w:t>Полученные оценки российских регионов по показателю доля ВДС страхового и финансового сектора</w:t>
      </w:r>
      <w:r w:rsidR="00EA1472">
        <w:rPr>
          <w:rFonts w:ascii="Times New Roman" w:eastAsia="DejaVu Sans" w:hAnsi="Times New Roman" w:cs="Times New Roman"/>
          <w:kern w:val="2"/>
          <w:sz w:val="24"/>
          <w:szCs w:val="24"/>
          <w:lang w:eastAsia="ru-RU"/>
        </w:rPr>
        <w:t xml:space="preserve"> определили высокий уровень неоднородности российских регионов. </w:t>
      </w:r>
      <w:r w:rsidR="00242B24">
        <w:rPr>
          <w:rFonts w:ascii="Times New Roman" w:eastAsia="DejaVu Sans" w:hAnsi="Times New Roman" w:cs="Times New Roman"/>
          <w:kern w:val="2"/>
          <w:sz w:val="24"/>
          <w:szCs w:val="24"/>
          <w:lang w:eastAsia="ru-RU"/>
        </w:rPr>
        <w:t xml:space="preserve"> В исследовании </w:t>
      </w:r>
      <w:r w:rsidR="00F66CC9">
        <w:rPr>
          <w:rFonts w:ascii="Times New Roman" w:eastAsia="DejaVu Sans" w:hAnsi="Times New Roman" w:cs="Times New Roman"/>
          <w:kern w:val="2"/>
          <w:sz w:val="24"/>
          <w:szCs w:val="24"/>
          <w:lang w:eastAsia="ru-RU"/>
        </w:rPr>
        <w:t>выявлен</w:t>
      </w:r>
      <w:r w:rsidR="00242B24">
        <w:rPr>
          <w:rFonts w:ascii="Times New Roman" w:eastAsia="DejaVu Sans" w:hAnsi="Times New Roman" w:cs="Times New Roman"/>
          <w:kern w:val="2"/>
          <w:sz w:val="24"/>
          <w:szCs w:val="24"/>
          <w:lang w:eastAsia="ru-RU"/>
        </w:rPr>
        <w:t xml:space="preserve"> высокий уровень концентрации страхового рынка в крупных региональных центрах</w:t>
      </w:r>
      <w:r w:rsidR="00F66CC9">
        <w:rPr>
          <w:rFonts w:ascii="Times New Roman" w:eastAsia="DejaVu Sans" w:hAnsi="Times New Roman" w:cs="Times New Roman"/>
          <w:kern w:val="2"/>
          <w:sz w:val="24"/>
          <w:szCs w:val="24"/>
          <w:lang w:eastAsia="ru-RU"/>
        </w:rPr>
        <w:t xml:space="preserve"> и столичных мегаполисах. </w:t>
      </w:r>
    </w:p>
    <w:p w:rsidR="00F66CC9" w:rsidRPr="00F66CC9" w:rsidRDefault="00F66CC9" w:rsidP="00F66CC9">
      <w:pPr>
        <w:spacing w:after="0" w:line="240" w:lineRule="auto"/>
        <w:ind w:firstLine="709"/>
        <w:jc w:val="both"/>
        <w:rPr>
          <w:rFonts w:ascii="Times New Roman" w:eastAsia="DejaVu Sans" w:hAnsi="Times New Roman" w:cs="Times New Roman"/>
          <w:kern w:val="2"/>
          <w:sz w:val="24"/>
          <w:szCs w:val="24"/>
          <w:lang w:eastAsia="ru-RU"/>
        </w:rPr>
      </w:pPr>
      <w:r>
        <w:rPr>
          <w:rFonts w:ascii="Times New Roman" w:eastAsia="DejaVu Sans" w:hAnsi="Times New Roman" w:cs="Times New Roman"/>
          <w:kern w:val="2"/>
          <w:sz w:val="24"/>
          <w:szCs w:val="24"/>
          <w:lang w:eastAsia="ru-RU"/>
        </w:rPr>
        <w:t xml:space="preserve">Полученные результаты могут быть использованы при написании стратегических и программных документов, направлений развития территорий, а также использованы при подготовке программ развития страховой отрасли. </w:t>
      </w:r>
    </w:p>
    <w:p w:rsidR="00242B24" w:rsidRDefault="00242B24" w:rsidP="00B17825">
      <w:pPr>
        <w:spacing w:after="0" w:line="240" w:lineRule="auto"/>
        <w:ind w:firstLine="709"/>
        <w:jc w:val="both"/>
        <w:rPr>
          <w:rFonts w:ascii="Times New Roman" w:eastAsia="DejaVu Sans" w:hAnsi="Times New Roman" w:cs="Times New Roman"/>
          <w:kern w:val="2"/>
          <w:sz w:val="24"/>
          <w:szCs w:val="24"/>
          <w:lang w:eastAsia="ru-RU"/>
        </w:rPr>
      </w:pPr>
    </w:p>
    <w:p w:rsidR="00B17825" w:rsidRDefault="00B17825" w:rsidP="00075649">
      <w:pPr>
        <w:spacing w:after="0" w:line="240" w:lineRule="auto"/>
        <w:ind w:firstLine="709"/>
        <w:jc w:val="center"/>
        <w:rPr>
          <w:rFonts w:ascii="Times New Roman" w:eastAsia="DejaVu Sans" w:hAnsi="Times New Roman" w:cs="Times New Roman"/>
          <w:b/>
          <w:kern w:val="2"/>
          <w:sz w:val="24"/>
          <w:szCs w:val="24"/>
          <w:lang w:eastAsia="ru-RU"/>
        </w:rPr>
      </w:pPr>
    </w:p>
    <w:p w:rsidR="00B17825" w:rsidRPr="00075649" w:rsidRDefault="00B17825" w:rsidP="00075649">
      <w:pPr>
        <w:spacing w:after="0" w:line="240" w:lineRule="auto"/>
        <w:ind w:firstLine="709"/>
        <w:jc w:val="center"/>
        <w:rPr>
          <w:rFonts w:ascii="Times New Roman" w:hAnsi="Times New Roman" w:cs="Times New Roman"/>
          <w:iCs/>
          <w:sz w:val="24"/>
          <w:szCs w:val="24"/>
        </w:rPr>
      </w:pPr>
    </w:p>
    <w:p w:rsidR="00827E82" w:rsidRPr="001B5953" w:rsidRDefault="00827E82" w:rsidP="00353244">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rsidR="00EA1472" w:rsidRP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bookmarkStart w:id="1" w:name="_GoBack"/>
      <w:bookmarkEnd w:id="1"/>
      <w:r w:rsidRPr="00EA1472">
        <w:rPr>
          <w:rFonts w:ascii="Times New Roman" w:eastAsia="DejaVu Sans" w:hAnsi="Times New Roman" w:cs="Times New Roman"/>
          <w:kern w:val="2"/>
          <w:sz w:val="24"/>
          <w:szCs w:val="24"/>
          <w:lang w:eastAsia="ru-RU"/>
        </w:rPr>
        <w:t>Комбаров М.А. Масштабы неравномерности пространственного развития России и пути их снижения // Экономическая безопасность. – 2021. – Том 4. – № 2. – С. 209-226. – doi: </w:t>
      </w:r>
      <w:hyperlink r:id="rId10" w:history="1">
        <w:r w:rsidRPr="00EA1472">
          <w:rPr>
            <w:rFonts w:ascii="Times New Roman" w:eastAsia="DejaVu Sans" w:hAnsi="Times New Roman" w:cs="Times New Roman"/>
            <w:kern w:val="2"/>
            <w:sz w:val="24"/>
            <w:szCs w:val="24"/>
            <w:lang w:eastAsia="ru-RU"/>
          </w:rPr>
          <w:t>10.18334/ecsec.4.2.111510</w:t>
        </w:r>
      </w:hyperlink>
      <w:r w:rsidRPr="00EA1472">
        <w:rPr>
          <w:rFonts w:ascii="Times New Roman" w:eastAsia="DejaVu Sans" w:hAnsi="Times New Roman" w:cs="Times New Roman"/>
          <w:kern w:val="2"/>
          <w:sz w:val="24"/>
          <w:szCs w:val="24"/>
          <w:lang w:eastAsia="ru-RU"/>
        </w:rPr>
        <w:t xml:space="preserve">., </w:t>
      </w:r>
    </w:p>
    <w:p w:rsid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t>Коломак Е.А. Межрегиональное неравенство в России: экономический и социальный аспекты // Пространственная экономика. – 2010. – № 1. – c. 26-35.</w:t>
      </w:r>
    </w:p>
    <w:p w:rsidR="00854770" w:rsidRP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val="en-US" w:eastAsia="ru-RU"/>
        </w:rPr>
      </w:pPr>
      <w:r w:rsidRPr="00EA1472">
        <w:rPr>
          <w:rFonts w:ascii="Times New Roman" w:eastAsia="DejaVu Sans" w:hAnsi="Times New Roman" w:cs="Times New Roman"/>
          <w:kern w:val="2"/>
          <w:sz w:val="24"/>
          <w:szCs w:val="24"/>
          <w:lang w:val="en-US" w:eastAsia="ru-RU"/>
        </w:rPr>
        <w:t>Blus P.I., Plotnikov R.V. Spatial clustering for reducing intraregional unevenness // Journal of New Economy. – 2022. – № 1. – p. 88-108. – doi: 10.29141/2658-5081-2022-23-1-5</w:t>
      </w:r>
    </w:p>
    <w:p w:rsid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t>Грищенко Н. Б.</w:t>
      </w:r>
      <w:r>
        <w:rPr>
          <w:rFonts w:ascii="Times New Roman" w:eastAsia="DejaVu Sans" w:hAnsi="Times New Roman" w:cs="Times New Roman"/>
          <w:kern w:val="2"/>
          <w:sz w:val="24"/>
          <w:szCs w:val="24"/>
          <w:lang w:eastAsia="ru-RU"/>
        </w:rPr>
        <w:t xml:space="preserve"> </w:t>
      </w:r>
      <w:r w:rsidRPr="00EA1472">
        <w:rPr>
          <w:rFonts w:ascii="Times New Roman" w:eastAsia="DejaVu Sans" w:hAnsi="Times New Roman" w:cs="Times New Roman"/>
          <w:kern w:val="2"/>
          <w:sz w:val="24"/>
          <w:szCs w:val="24"/>
          <w:lang w:eastAsia="ru-RU"/>
        </w:rPr>
        <w:t>Концентрация страхового рынка России: тенденции и прогнозные оценки // Проблемы прогнозирования.</w:t>
      </w:r>
      <w:r>
        <w:rPr>
          <w:rFonts w:ascii="Times New Roman" w:eastAsia="DejaVu Sans" w:hAnsi="Times New Roman" w:cs="Times New Roman"/>
          <w:kern w:val="2"/>
          <w:sz w:val="24"/>
          <w:szCs w:val="24"/>
          <w:lang w:eastAsia="ru-RU"/>
        </w:rPr>
        <w:t xml:space="preserve"> - </w:t>
      </w:r>
      <w:r w:rsidRPr="00EA1472">
        <w:rPr>
          <w:rFonts w:ascii="Times New Roman" w:eastAsia="DejaVu Sans" w:hAnsi="Times New Roman" w:cs="Times New Roman"/>
          <w:kern w:val="2"/>
          <w:sz w:val="24"/>
          <w:szCs w:val="24"/>
          <w:lang w:eastAsia="ru-RU"/>
        </w:rPr>
        <w:t xml:space="preserve"> 2019. </w:t>
      </w:r>
      <w:r>
        <w:rPr>
          <w:rFonts w:ascii="Times New Roman" w:eastAsia="DejaVu Sans" w:hAnsi="Times New Roman" w:cs="Times New Roman"/>
          <w:kern w:val="2"/>
          <w:sz w:val="24"/>
          <w:szCs w:val="24"/>
          <w:lang w:eastAsia="ru-RU"/>
        </w:rPr>
        <w:t xml:space="preserve">- </w:t>
      </w:r>
      <w:r w:rsidRPr="00EA1472">
        <w:rPr>
          <w:rFonts w:ascii="Times New Roman" w:eastAsia="DejaVu Sans" w:hAnsi="Times New Roman" w:cs="Times New Roman"/>
          <w:kern w:val="2"/>
          <w:sz w:val="24"/>
          <w:szCs w:val="24"/>
          <w:lang w:eastAsia="ru-RU"/>
        </w:rPr>
        <w:t xml:space="preserve">№1 (172). </w:t>
      </w:r>
      <w:r>
        <w:rPr>
          <w:rFonts w:ascii="Times New Roman" w:eastAsia="DejaVu Sans" w:hAnsi="Times New Roman" w:cs="Times New Roman"/>
          <w:kern w:val="2"/>
          <w:sz w:val="24"/>
          <w:szCs w:val="24"/>
          <w:lang w:eastAsia="ru-RU"/>
        </w:rPr>
        <w:t>-</w:t>
      </w:r>
      <w:r w:rsidRPr="00EA1472">
        <w:rPr>
          <w:rFonts w:ascii="Times New Roman" w:eastAsia="DejaVu Sans" w:hAnsi="Times New Roman" w:cs="Times New Roman"/>
          <w:kern w:val="2"/>
          <w:sz w:val="24"/>
          <w:szCs w:val="24"/>
          <w:lang w:eastAsia="ru-RU"/>
        </w:rPr>
        <w:t>С. 113-122</w:t>
      </w:r>
      <w:r>
        <w:rPr>
          <w:rFonts w:ascii="Times New Roman" w:eastAsia="DejaVu Sans" w:hAnsi="Times New Roman" w:cs="Times New Roman"/>
          <w:kern w:val="2"/>
          <w:sz w:val="24"/>
          <w:szCs w:val="24"/>
          <w:lang w:eastAsia="ru-RU"/>
        </w:rPr>
        <w:t>.</w:t>
      </w:r>
    </w:p>
    <w:p w:rsid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lastRenderedPageBreak/>
        <w:t xml:space="preserve">Обзор ключевых показателей деятельности страховщиков, № 4,  2022 год // Официальный сайт Банка России: </w:t>
      </w:r>
      <w:hyperlink r:id="rId11" w:history="1">
        <w:r w:rsidRPr="00EA1472">
          <w:rPr>
            <w:rFonts w:eastAsia="DejaVu Sans"/>
            <w:kern w:val="2"/>
            <w:lang w:eastAsia="ru-RU"/>
          </w:rPr>
          <w:t>www.cbr.ru</w:t>
        </w:r>
      </w:hyperlink>
    </w:p>
    <w:p w:rsidR="00EA1472" w:rsidRP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t xml:space="preserve">Волкова Е.М., Рахимов О.О., Шматова Т.С., Виноградов Е.А. анализ страхового рынка в российской федерации и тенденции его трансформации // </w:t>
      </w:r>
    </w:p>
    <w:p w:rsidR="00EA1472" w:rsidRP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t>брни. 2021. №3, Головань С.А., Барикян З.А. Анализ концентрации страхового рынка России // ЭЛЕКТРОННЫЙ НАУЧНЫЙ ЖУРНАЛ «ВЕКТОР ЭКОНОМИКИ», 2022,  №4. www.vectoreconomy.ru | СМИ ЭЛ № ФС 77-66790, ISSN 2500-3666</w:t>
      </w:r>
    </w:p>
    <w:p w:rsidR="00EA1472" w:rsidRPr="00EA1472" w:rsidRDefault="00EA1472" w:rsidP="00EA1472">
      <w:pPr>
        <w:numPr>
          <w:ilvl w:val="0"/>
          <w:numId w:val="1"/>
        </w:numPr>
        <w:tabs>
          <w:tab w:val="left" w:pos="0"/>
          <w:tab w:val="left" w:pos="1134"/>
        </w:tabs>
        <w:spacing w:after="0" w:line="240" w:lineRule="auto"/>
        <w:ind w:left="714" w:hanging="357"/>
        <w:jc w:val="both"/>
        <w:rPr>
          <w:rFonts w:ascii="Times New Roman" w:eastAsia="DejaVu Sans" w:hAnsi="Times New Roman" w:cs="Times New Roman"/>
          <w:kern w:val="2"/>
          <w:sz w:val="24"/>
          <w:szCs w:val="24"/>
          <w:lang w:eastAsia="ru-RU"/>
        </w:rPr>
      </w:pPr>
      <w:r w:rsidRPr="00EA1472">
        <w:rPr>
          <w:rFonts w:ascii="Times New Roman" w:eastAsia="DejaVu Sans" w:hAnsi="Times New Roman" w:cs="Times New Roman"/>
          <w:kern w:val="2"/>
          <w:sz w:val="24"/>
          <w:szCs w:val="24"/>
          <w:lang w:eastAsia="ru-RU"/>
        </w:rPr>
        <w:t>Аксютина С.В. Страховой рынок РФ: оценка и приоритетные направления развития // Проблемы развития территории. 2020. № 3 (107). С. 90–102. DOI: 10.15838/ptd.2020.3.107.6</w:t>
      </w:r>
    </w:p>
    <w:sectPr w:rsidR="00EA1472" w:rsidRPr="00EA1472" w:rsidSect="007304A1">
      <w:pgSz w:w="11906" w:h="16838"/>
      <w:pgMar w:top="1134" w:right="1700"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1359" w:rsidRDefault="008E1359" w:rsidP="00827E82">
      <w:pPr>
        <w:spacing w:after="0" w:line="240" w:lineRule="auto"/>
      </w:pPr>
      <w:r>
        <w:separator/>
      </w:r>
    </w:p>
  </w:endnote>
  <w:endnote w:type="continuationSeparator" w:id="1">
    <w:p w:rsidR="008E1359" w:rsidRDefault="008E1359"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T Serif Pro Book">
    <w:altName w:val="PT Serif Pro Book"/>
    <w:panose1 w:val="00000000000000000000"/>
    <w:charset w:val="CC"/>
    <w:family w:val="roman"/>
    <w:notTrueType/>
    <w:pitch w:val="default"/>
    <w:sig w:usb0="00000201" w:usb1="00000000" w:usb2="00000000" w:usb3="00000000" w:csb0="00000004" w:csb1="00000000"/>
  </w:font>
  <w:font w:name="Courier New">
    <w:panose1 w:val="02070309020205020404"/>
    <w:charset w:val="CC"/>
    <w:family w:val="modern"/>
    <w:pitch w:val="fixed"/>
    <w:sig w:usb0="E0002EFF" w:usb1="C0007843" w:usb2="00000009" w:usb3="00000000" w:csb0="000001FF" w:csb1="00000000"/>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1359" w:rsidRDefault="008E1359" w:rsidP="00827E82">
      <w:pPr>
        <w:spacing w:after="0" w:line="240" w:lineRule="auto"/>
      </w:pPr>
      <w:r>
        <w:separator/>
      </w:r>
    </w:p>
  </w:footnote>
  <w:footnote w:type="continuationSeparator" w:id="1">
    <w:p w:rsidR="008E1359" w:rsidRDefault="008E1359" w:rsidP="00827E82">
      <w:pPr>
        <w:spacing w:after="0" w:line="240" w:lineRule="auto"/>
      </w:pPr>
      <w:r>
        <w:continuationSeparator/>
      </w:r>
    </w:p>
  </w:footnote>
  <w:footnote w:id="2">
    <w:p w:rsidR="00B86330" w:rsidRDefault="00B86330">
      <w:pPr>
        <w:pStyle w:val="a6"/>
      </w:pPr>
      <w:r>
        <w:rPr>
          <w:rStyle w:val="a3"/>
        </w:rPr>
        <w:footnoteRef/>
      </w:r>
      <w:r>
        <w:t xml:space="preserve"> </w:t>
      </w:r>
      <w:r>
        <w:rPr>
          <w:rFonts w:ascii="Times New Roman" w:hAnsi="Times New Roman" w:cs="Times New Roman"/>
        </w:rPr>
        <w:t>Морошкина Марина Валерьевна</w:t>
      </w:r>
      <w:r w:rsidRPr="00CA7DF7">
        <w:rPr>
          <w:rFonts w:ascii="Times New Roman" w:hAnsi="Times New Roman" w:cs="Times New Roman"/>
        </w:rPr>
        <w:t xml:space="preserve">, </w:t>
      </w:r>
      <w:r>
        <w:rPr>
          <w:rFonts w:ascii="Times New Roman" w:hAnsi="Times New Roman" w:cs="Times New Roman"/>
        </w:rPr>
        <w:t>к.э.н.,</w:t>
      </w:r>
      <w:r w:rsidRPr="00CA7DF7">
        <w:rPr>
          <w:rFonts w:ascii="Times New Roman" w:hAnsi="Times New Roman" w:cs="Times New Roman"/>
        </w:rPr>
        <w:t xml:space="preserve"> </w:t>
      </w:r>
      <w:r>
        <w:rPr>
          <w:rFonts w:ascii="Times New Roman" w:hAnsi="Times New Roman" w:cs="Times New Roman"/>
        </w:rPr>
        <w:t xml:space="preserve">с.н.с. </w:t>
      </w:r>
      <w:r w:rsidRPr="00B86330">
        <w:rPr>
          <w:rFonts w:ascii="Times New Roman" w:hAnsi="Times New Roman" w:cs="Times New Roman"/>
        </w:rPr>
        <w:t>Институт экономики Карельского научного центра РАН — федеральное государственное бюджетное учреждение науки, структурное подразделение в составе Карельского научного центра Российской Академии наук.</w:t>
      </w:r>
      <w:r w:rsidRPr="00CA7DF7">
        <w:rPr>
          <w:rFonts w:ascii="Times New Roman" w:hAnsi="Times New Roman" w:cs="Times New Roman"/>
        </w:rPr>
        <w:t xml:space="preserve"> (Адрес: </w:t>
      </w:r>
      <w:r w:rsidRPr="00B86330">
        <w:rPr>
          <w:rFonts w:ascii="Times New Roman" w:hAnsi="Times New Roman" w:cs="Times New Roman"/>
        </w:rPr>
        <w:t>185030</w:t>
      </w:r>
      <w:r>
        <w:rPr>
          <w:rFonts w:ascii="Times New Roman" w:hAnsi="Times New Roman" w:cs="Times New Roman"/>
        </w:rPr>
        <w:t xml:space="preserve">, Россия,  </w:t>
      </w:r>
      <w:r w:rsidRPr="00B86330">
        <w:rPr>
          <w:rFonts w:ascii="Times New Roman" w:hAnsi="Times New Roman" w:cs="Times New Roman"/>
        </w:rPr>
        <w:t>Респ. Карелия</w:t>
      </w:r>
      <w:r w:rsidRPr="00CA7DF7">
        <w:rPr>
          <w:rFonts w:ascii="Times New Roman" w:hAnsi="Times New Roman" w:cs="Times New Roman"/>
        </w:rPr>
        <w:t>,</w:t>
      </w:r>
      <w:r>
        <w:rPr>
          <w:rFonts w:ascii="Times New Roman" w:hAnsi="Times New Roman" w:cs="Times New Roman"/>
        </w:rPr>
        <w:t xml:space="preserve"> </w:t>
      </w:r>
      <w:r w:rsidRPr="00B86330">
        <w:rPr>
          <w:rFonts w:ascii="Times New Roman" w:hAnsi="Times New Roman" w:cs="Times New Roman"/>
        </w:rPr>
        <w:t xml:space="preserve">Петрозаводск, </w:t>
      </w:r>
      <w:r w:rsidRPr="00CA7DF7">
        <w:rPr>
          <w:rFonts w:ascii="Times New Roman" w:hAnsi="Times New Roman" w:cs="Times New Roman"/>
        </w:rPr>
        <w:t xml:space="preserve"> </w:t>
      </w:r>
      <w:r w:rsidRPr="00B86330">
        <w:rPr>
          <w:rFonts w:ascii="Times New Roman" w:hAnsi="Times New Roman" w:cs="Times New Roman"/>
        </w:rPr>
        <w:t>пр. Александра Невского, 50, 3 этаж, ,</w:t>
      </w:r>
      <w:r w:rsidRPr="00CA7DF7">
        <w:rPr>
          <w:rFonts w:ascii="Times New Roman" w:hAnsi="Times New Roman" w:cs="Times New Roman"/>
        </w:rPr>
        <w:t>; E-mail:</w:t>
      </w:r>
      <w:r>
        <w:rPr>
          <w:rFonts w:ascii="Times New Roman" w:hAnsi="Times New Roman" w:cs="Times New Roman"/>
        </w:rPr>
        <w:t xml:space="preserve"> </w:t>
      </w:r>
      <w:r>
        <w:rPr>
          <w:rFonts w:ascii="Times New Roman" w:hAnsi="Times New Roman" w:cs="Times New Roman"/>
          <w:lang w:val="en-US"/>
        </w:rPr>
        <w:t>maribel</w:t>
      </w:r>
      <w:r w:rsidRPr="00B86330">
        <w:rPr>
          <w:rFonts w:ascii="Times New Roman" w:hAnsi="Times New Roman" w:cs="Times New Roman"/>
        </w:rPr>
        <w:t>74@</w:t>
      </w:r>
      <w:r>
        <w:rPr>
          <w:rFonts w:ascii="Times New Roman" w:hAnsi="Times New Roman" w:cs="Times New Roman"/>
          <w:lang w:val="en-US"/>
        </w:rPr>
        <w:t>mail</w:t>
      </w:r>
      <w:r w:rsidRPr="00B86330">
        <w:rPr>
          <w:rFonts w:ascii="Times New Roman" w:hAnsi="Times New Roman" w:cs="Times New Roman"/>
        </w:rPr>
        <w:t>.</w:t>
      </w:r>
      <w:r>
        <w:rPr>
          <w:rFonts w:ascii="Times New Roman" w:hAnsi="Times New Roman" w:cs="Times New Roman"/>
          <w:lang w:val="en-US"/>
        </w:rPr>
        <w:t>ru</w:t>
      </w:r>
      <w:r w:rsidRPr="00CA7DF7">
        <w:rPr>
          <w:rFonts w:ascii="Times New Roman" w:hAnsi="Times New Roman" w:cs="Times New Roman"/>
        </w:rPr>
        <w:t>).</w:t>
      </w:r>
    </w:p>
  </w:footnote>
  <w:footnote w:id="3">
    <w:p w:rsidR="00B86330" w:rsidRPr="00B86330" w:rsidRDefault="00B86330" w:rsidP="00B86330">
      <w:pPr>
        <w:pStyle w:val="a6"/>
        <w:rPr>
          <w:rFonts w:ascii="Times New Roman" w:hAnsi="Times New Roman" w:cs="Times New Roman"/>
        </w:rPr>
      </w:pPr>
      <w:r>
        <w:rPr>
          <w:rStyle w:val="a3"/>
        </w:rPr>
        <w:footnoteRef/>
      </w:r>
      <w:r>
        <w:t xml:space="preserve"> </w:t>
      </w:r>
      <w:r>
        <w:rPr>
          <w:rFonts w:ascii="Times New Roman" w:hAnsi="Times New Roman" w:cs="Times New Roman"/>
        </w:rPr>
        <w:t>Резанова Лада Викторовна,</w:t>
      </w:r>
      <w:r w:rsidRPr="00CA7DF7">
        <w:rPr>
          <w:rFonts w:ascii="Times New Roman" w:hAnsi="Times New Roman" w:cs="Times New Roman"/>
        </w:rPr>
        <w:t xml:space="preserve"> </w:t>
      </w:r>
      <w:r w:rsidRPr="00B86330">
        <w:rPr>
          <w:rFonts w:ascii="Times New Roman" w:hAnsi="Times New Roman" w:cs="Times New Roman"/>
        </w:rPr>
        <w:t>старший преподаватель</w:t>
      </w:r>
      <w:r w:rsidRPr="00CA7DF7">
        <w:rPr>
          <w:rFonts w:ascii="Times New Roman" w:hAnsi="Times New Roman" w:cs="Times New Roman"/>
        </w:rPr>
        <w:t xml:space="preserve">, </w:t>
      </w:r>
      <w:r>
        <w:rPr>
          <w:rFonts w:ascii="Times New Roman" w:hAnsi="Times New Roman" w:cs="Times New Roman"/>
        </w:rPr>
        <w:t xml:space="preserve">Петрозаводский государственный университет </w:t>
      </w:r>
      <w:r w:rsidRPr="00CA7DF7">
        <w:rPr>
          <w:rFonts w:ascii="Times New Roman" w:hAnsi="Times New Roman" w:cs="Times New Roman"/>
        </w:rPr>
        <w:t xml:space="preserve">(Адрес: </w:t>
      </w:r>
      <w:r w:rsidRPr="00B86330">
        <w:rPr>
          <w:rFonts w:ascii="Times New Roman" w:hAnsi="Times New Roman" w:cs="Times New Roman"/>
        </w:rPr>
        <w:t>185910, Россия, Республика Карелия,</w:t>
      </w:r>
    </w:p>
    <w:p w:rsidR="00B86330" w:rsidRDefault="00B86330" w:rsidP="00B86330">
      <w:pPr>
        <w:pStyle w:val="a6"/>
      </w:pPr>
      <w:r w:rsidRPr="00B86330">
        <w:rPr>
          <w:rFonts w:ascii="Times New Roman" w:hAnsi="Times New Roman" w:cs="Times New Roman"/>
        </w:rPr>
        <w:t>г. Петрозаводск, пр. Ленина, 33</w:t>
      </w:r>
      <w:r w:rsidRPr="00CA7DF7">
        <w:rPr>
          <w:rFonts w:ascii="Times New Roman" w:hAnsi="Times New Roman" w:cs="Times New Roman"/>
        </w:rPr>
        <w:t>; E-mail:</w:t>
      </w:r>
      <w:r>
        <w:rPr>
          <w:rFonts w:ascii="Times New Roman" w:hAnsi="Times New Roman" w:cs="Times New Roman"/>
        </w:rPr>
        <w:t xml:space="preserve"> </w:t>
      </w:r>
      <w:r w:rsidRPr="00B86330">
        <w:rPr>
          <w:rFonts w:ascii="Times New Roman" w:hAnsi="Times New Roman" w:cs="Times New Roman"/>
        </w:rPr>
        <w:t>slv1305@yandex.ru</w:t>
      </w:r>
      <w:r w:rsidRPr="00CA7DF7">
        <w:rPr>
          <w:rFonts w:ascii="Times New Roman" w:hAnsi="Times New Roman" w:cs="Times New Roman"/>
        </w:rPr>
        <w:t>).</w:t>
      </w:r>
    </w:p>
  </w:footnote>
  <w:footnote w:id="4">
    <w:p w:rsidR="00B86330" w:rsidRPr="0050757D" w:rsidRDefault="00B86330" w:rsidP="00B86330">
      <w:pPr>
        <w:pStyle w:val="a6"/>
        <w:jc w:val="both"/>
        <w:rPr>
          <w:rFonts w:ascii="Times New Roman" w:hAnsi="Times New Roman" w:cs="Times New Roman"/>
        </w:rPr>
      </w:pPr>
      <w:r>
        <w:rPr>
          <w:rStyle w:val="a3"/>
        </w:rPr>
        <w:footnoteRef/>
      </w:r>
      <w:r>
        <w:t xml:space="preserve"> </w:t>
      </w:r>
      <w:r w:rsidRPr="0050757D">
        <w:rPr>
          <w:rStyle w:val="A10"/>
          <w:rFonts w:ascii="Times New Roman" w:hAnsi="Times New Roman" w:cs="Times New Roman"/>
        </w:rPr>
        <w:t>Работа выполнена в рамках государственного задания Института экономики КарНЦ РАН «Комплексное исследование и разработка основ управления устойчивым развитием северного и приграничного поясов России в контексте глобальных вызовов».</w:t>
      </w:r>
    </w:p>
    <w:p w:rsidR="00B86330" w:rsidRDefault="00B86330">
      <w:pPr>
        <w:pStyle w:val="a6"/>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characterSpacingControl w:val="doNotCompress"/>
  <w:footnotePr>
    <w:footnote w:id="0"/>
    <w:footnote w:id="1"/>
  </w:footnotePr>
  <w:endnotePr>
    <w:endnote w:id="0"/>
    <w:endnote w:id="1"/>
  </w:endnotePr>
  <w:compat/>
  <w:rsids>
    <w:rsidRoot w:val="00827E82"/>
    <w:rsid w:val="00025118"/>
    <w:rsid w:val="0005353C"/>
    <w:rsid w:val="00075649"/>
    <w:rsid w:val="00093BEC"/>
    <w:rsid w:val="001A0FCD"/>
    <w:rsid w:val="001A73EB"/>
    <w:rsid w:val="001B5953"/>
    <w:rsid w:val="00242B24"/>
    <w:rsid w:val="00287F75"/>
    <w:rsid w:val="002E5169"/>
    <w:rsid w:val="00353244"/>
    <w:rsid w:val="00402FB1"/>
    <w:rsid w:val="00421927"/>
    <w:rsid w:val="0044325D"/>
    <w:rsid w:val="004B45B0"/>
    <w:rsid w:val="0055585F"/>
    <w:rsid w:val="00561020"/>
    <w:rsid w:val="0056195D"/>
    <w:rsid w:val="005760FF"/>
    <w:rsid w:val="00590F6E"/>
    <w:rsid w:val="005F5AF9"/>
    <w:rsid w:val="006A4AD2"/>
    <w:rsid w:val="007304A1"/>
    <w:rsid w:val="00744F91"/>
    <w:rsid w:val="00787640"/>
    <w:rsid w:val="00791C80"/>
    <w:rsid w:val="0079722A"/>
    <w:rsid w:val="007C5690"/>
    <w:rsid w:val="007D79E0"/>
    <w:rsid w:val="00813698"/>
    <w:rsid w:val="00827E82"/>
    <w:rsid w:val="00854770"/>
    <w:rsid w:val="0086686D"/>
    <w:rsid w:val="008B4CFE"/>
    <w:rsid w:val="008C2892"/>
    <w:rsid w:val="008C75C1"/>
    <w:rsid w:val="008E1359"/>
    <w:rsid w:val="00916BF7"/>
    <w:rsid w:val="009F7A0B"/>
    <w:rsid w:val="00A43D8F"/>
    <w:rsid w:val="00AF273D"/>
    <w:rsid w:val="00B17825"/>
    <w:rsid w:val="00B86330"/>
    <w:rsid w:val="00BC155A"/>
    <w:rsid w:val="00C60A1F"/>
    <w:rsid w:val="00CB40B0"/>
    <w:rsid w:val="00DF0D04"/>
    <w:rsid w:val="00E177EC"/>
    <w:rsid w:val="00EA1472"/>
    <w:rsid w:val="00EA4672"/>
    <w:rsid w:val="00F5391A"/>
    <w:rsid w:val="00F66CC9"/>
    <w:rsid w:val="00F91299"/>
    <w:rsid w:val="00FF187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F5391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5391A"/>
    <w:rPr>
      <w:rFonts w:ascii="Tahoma" w:hAnsi="Tahoma" w:cs="Tahoma"/>
      <w:sz w:val="16"/>
      <w:szCs w:val="16"/>
    </w:rPr>
  </w:style>
  <w:style w:type="paragraph" w:styleId="a6">
    <w:name w:val="footnote text"/>
    <w:basedOn w:val="a"/>
    <w:link w:val="a7"/>
    <w:uiPriority w:val="99"/>
    <w:semiHidden/>
    <w:unhideWhenUsed/>
    <w:rsid w:val="00B86330"/>
    <w:pPr>
      <w:spacing w:after="0" w:line="240" w:lineRule="auto"/>
    </w:pPr>
    <w:rPr>
      <w:sz w:val="20"/>
      <w:szCs w:val="20"/>
    </w:rPr>
  </w:style>
  <w:style w:type="character" w:customStyle="1" w:styleId="a7">
    <w:name w:val="Текст сноски Знак"/>
    <w:basedOn w:val="a0"/>
    <w:link w:val="a6"/>
    <w:uiPriority w:val="99"/>
    <w:semiHidden/>
    <w:rsid w:val="00B86330"/>
    <w:rPr>
      <w:sz w:val="20"/>
      <w:szCs w:val="20"/>
    </w:rPr>
  </w:style>
  <w:style w:type="character" w:customStyle="1" w:styleId="A10">
    <w:name w:val="A1"/>
    <w:uiPriority w:val="99"/>
    <w:rsid w:val="00B86330"/>
    <w:rPr>
      <w:rFonts w:cs="PT Serif Pro Book"/>
      <w:i/>
      <w:iCs/>
      <w:color w:val="000000"/>
      <w:sz w:val="22"/>
      <w:szCs w:val="22"/>
    </w:rPr>
  </w:style>
  <w:style w:type="character" w:styleId="a8">
    <w:name w:val="Hyperlink"/>
    <w:basedOn w:val="a0"/>
    <w:uiPriority w:val="99"/>
    <w:unhideWhenUsed/>
    <w:rsid w:val="00F91299"/>
    <w:rPr>
      <w:color w:val="0000FF"/>
      <w:u w:val="single"/>
    </w:rPr>
  </w:style>
  <w:style w:type="paragraph" w:styleId="a9">
    <w:name w:val="Normal (Web)"/>
    <w:basedOn w:val="a"/>
    <w:uiPriority w:val="99"/>
    <w:semiHidden/>
    <w:unhideWhenUsed/>
    <w:rsid w:val="0005353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866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6686D"/>
    <w:rPr>
      <w:rFonts w:ascii="Courier New" w:eastAsia="Times New Roman" w:hAnsi="Courier New" w:cs="Courier New"/>
      <w:sz w:val="20"/>
      <w:szCs w:val="20"/>
      <w:lang w:eastAsia="ru-RU"/>
    </w:rPr>
  </w:style>
  <w:style w:type="character" w:customStyle="1" w:styleId="y2iqfc">
    <w:name w:val="y2iqfc"/>
    <w:basedOn w:val="a0"/>
    <w:rsid w:val="0086686D"/>
  </w:style>
</w:styles>
</file>

<file path=word/webSettings.xml><?xml version="1.0" encoding="utf-8"?>
<w:webSettings xmlns:r="http://schemas.openxmlformats.org/officeDocument/2006/relationships" xmlns:w="http://schemas.openxmlformats.org/wordprocessingml/2006/main">
  <w:divs>
    <w:div w:id="368267914">
      <w:bodyDiv w:val="1"/>
      <w:marLeft w:val="0"/>
      <w:marRight w:val="0"/>
      <w:marTop w:val="0"/>
      <w:marBottom w:val="0"/>
      <w:divBdr>
        <w:top w:val="none" w:sz="0" w:space="0" w:color="auto"/>
        <w:left w:val="none" w:sz="0" w:space="0" w:color="auto"/>
        <w:bottom w:val="none" w:sz="0" w:space="0" w:color="auto"/>
        <w:right w:val="none" w:sz="0" w:space="0" w:color="auto"/>
      </w:divBdr>
    </w:div>
    <w:div w:id="473371727">
      <w:bodyDiv w:val="1"/>
      <w:marLeft w:val="0"/>
      <w:marRight w:val="0"/>
      <w:marTop w:val="0"/>
      <w:marBottom w:val="0"/>
      <w:divBdr>
        <w:top w:val="none" w:sz="0" w:space="0" w:color="auto"/>
        <w:left w:val="none" w:sz="0" w:space="0" w:color="auto"/>
        <w:bottom w:val="none" w:sz="0" w:space="0" w:color="auto"/>
        <w:right w:val="none" w:sz="0" w:space="0" w:color="auto"/>
      </w:divBdr>
    </w:div>
    <w:div w:id="908030726">
      <w:bodyDiv w:val="1"/>
      <w:marLeft w:val="0"/>
      <w:marRight w:val="0"/>
      <w:marTop w:val="0"/>
      <w:marBottom w:val="0"/>
      <w:divBdr>
        <w:top w:val="none" w:sz="0" w:space="0" w:color="auto"/>
        <w:left w:val="none" w:sz="0" w:space="0" w:color="auto"/>
        <w:bottom w:val="none" w:sz="0" w:space="0" w:color="auto"/>
        <w:right w:val="none" w:sz="0" w:space="0" w:color="auto"/>
      </w:divBdr>
    </w:div>
    <w:div w:id="1271888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br.ru" TargetMode="External"/><Relationship Id="rId5" Type="http://schemas.openxmlformats.org/officeDocument/2006/relationships/webSettings" Target="webSettings.xml"/><Relationship Id="rId10" Type="http://schemas.openxmlformats.org/officeDocument/2006/relationships/hyperlink" Target="http://doi.org/10.18334/ecsec.4.2.111510"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D:\&#1052;&#1086;&#1088;&#1086;&#1096;&#1082;&#1080;&#1085;&#1072;\Marina\&#1089;&#1077;&#1084;&#1080;&#1085;&#1072;&#1088;\&#1042;&#1086;&#1083;&#1086;&#1075;&#1076;&#1072;\2024\13-15%20&#1084;&#1072;&#1103;\&#1089;&#1090;&#1072;&#1090;&#1080;&#1089;&#1090;&#1080;&#1082;&#1072;\&#1042;&#1044;&#105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088;&#1086;&#1096;&#1082;&#1080;&#1085;&#1072;\Marina\&#1089;&#1077;&#1084;&#1080;&#1085;&#1072;&#1088;\&#1042;&#1086;&#1083;&#1086;&#1075;&#1076;&#1072;\2024\13-15%20&#1084;&#1072;&#1103;\&#1089;&#1090;&#1072;&#1090;&#1080;&#1089;&#1090;&#1080;&#1082;&#1072;\&#1042;&#1044;&#105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'общая по страхованию'!$T$15</c:f>
              <c:strCache>
                <c:ptCount val="1"/>
                <c:pt idx="0">
                  <c:v>г. Москва</c:v>
                </c:pt>
              </c:strCache>
            </c:strRef>
          </c:tx>
          <c:cat>
            <c:numRef>
              <c:f>'общая по страхованию'!$U$14:$AE$14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страхованию'!$U$15:$AE$15</c:f>
              <c:numCache>
                <c:formatCode>General</c:formatCode>
                <c:ptCount val="11"/>
                <c:pt idx="0">
                  <c:v>1.2</c:v>
                </c:pt>
                <c:pt idx="1">
                  <c:v>1.3</c:v>
                </c:pt>
                <c:pt idx="2">
                  <c:v>1.3</c:v>
                </c:pt>
                <c:pt idx="3">
                  <c:v>1.2</c:v>
                </c:pt>
                <c:pt idx="4">
                  <c:v>1.3</c:v>
                </c:pt>
                <c:pt idx="5">
                  <c:v>1.2</c:v>
                </c:pt>
                <c:pt idx="6">
                  <c:v>1.5</c:v>
                </c:pt>
                <c:pt idx="7">
                  <c:v>1.4</c:v>
                </c:pt>
                <c:pt idx="8">
                  <c:v>1.7000000000000002</c:v>
                </c:pt>
                <c:pt idx="9">
                  <c:v>1.3</c:v>
                </c:pt>
                <c:pt idx="10">
                  <c:v>1.5</c:v>
                </c:pt>
              </c:numCache>
            </c:numRef>
          </c:val>
        </c:ser>
        <c:ser>
          <c:idx val="1"/>
          <c:order val="1"/>
          <c:tx>
            <c:strRef>
              <c:f>'общая по страхованию'!$T$16</c:f>
              <c:strCache>
                <c:ptCount val="1"/>
                <c:pt idx="0">
                  <c:v>г. Санкт-Петербург</c:v>
                </c:pt>
              </c:strCache>
            </c:strRef>
          </c:tx>
          <c:cat>
            <c:numRef>
              <c:f>'общая по страхованию'!$U$14:$AE$14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страхованию'!$U$16:$AE$16</c:f>
              <c:numCache>
                <c:formatCode>General</c:formatCode>
                <c:ptCount val="11"/>
                <c:pt idx="0">
                  <c:v>0.8</c:v>
                </c:pt>
                <c:pt idx="1">
                  <c:v>0.8</c:v>
                </c:pt>
                <c:pt idx="2">
                  <c:v>0.70000000000000051</c:v>
                </c:pt>
                <c:pt idx="3">
                  <c:v>0.5</c:v>
                </c:pt>
                <c:pt idx="4">
                  <c:v>0.4</c:v>
                </c:pt>
                <c:pt idx="5">
                  <c:v>0.5</c:v>
                </c:pt>
                <c:pt idx="6">
                  <c:v>0.5</c:v>
                </c:pt>
                <c:pt idx="7">
                  <c:v>0.5</c:v>
                </c:pt>
                <c:pt idx="8">
                  <c:v>0.5</c:v>
                </c:pt>
                <c:pt idx="9">
                  <c:v>0.5</c:v>
                </c:pt>
                <c:pt idx="10">
                  <c:v>0.70000000000000051</c:v>
                </c:pt>
              </c:numCache>
            </c:numRef>
          </c:val>
        </c:ser>
        <c:ser>
          <c:idx val="2"/>
          <c:order val="2"/>
          <c:tx>
            <c:strRef>
              <c:f>'общая по страхованию'!$T$17</c:f>
              <c:strCache>
                <c:ptCount val="1"/>
                <c:pt idx="0">
                  <c:v>Республика Алтай</c:v>
                </c:pt>
              </c:strCache>
            </c:strRef>
          </c:tx>
          <c:cat>
            <c:numRef>
              <c:f>'общая по страхованию'!$U$14:$AE$14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страхованию'!$U$17:$AE$17</c:f>
              <c:numCache>
                <c:formatCode>General</c:formatCode>
                <c:ptCount val="11"/>
                <c:pt idx="0">
                  <c:v>0.4</c:v>
                </c:pt>
                <c:pt idx="1">
                  <c:v>0.4</c:v>
                </c:pt>
                <c:pt idx="2">
                  <c:v>0.9</c:v>
                </c:pt>
                <c:pt idx="3">
                  <c:v>0.5</c:v>
                </c:pt>
                <c:pt idx="4">
                  <c:v>0.4</c:v>
                </c:pt>
                <c:pt idx="5">
                  <c:v>0.60000000000000053</c:v>
                </c:pt>
                <c:pt idx="6">
                  <c:v>0.30000000000000027</c:v>
                </c:pt>
                <c:pt idx="7">
                  <c:v>0.2</c:v>
                </c:pt>
                <c:pt idx="8">
                  <c:v>0.8</c:v>
                </c:pt>
                <c:pt idx="9">
                  <c:v>0.70000000000000051</c:v>
                </c:pt>
                <c:pt idx="10">
                  <c:v>0.70000000000000051</c:v>
                </c:pt>
              </c:numCache>
            </c:numRef>
          </c:val>
        </c:ser>
        <c:ser>
          <c:idx val="3"/>
          <c:order val="3"/>
          <c:tx>
            <c:strRef>
              <c:f>'общая по страхованию'!$T$18</c:f>
              <c:strCache>
                <c:ptCount val="1"/>
                <c:pt idx="0">
                  <c:v>Московская область</c:v>
                </c:pt>
              </c:strCache>
            </c:strRef>
          </c:tx>
          <c:cat>
            <c:numRef>
              <c:f>'общая по страхованию'!$U$14:$AE$14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страхованию'!$U$18:$AE$18</c:f>
              <c:numCache>
                <c:formatCode>General</c:formatCode>
                <c:ptCount val="11"/>
                <c:pt idx="0">
                  <c:v>0.60000000000000053</c:v>
                </c:pt>
                <c:pt idx="1">
                  <c:v>0.60000000000000053</c:v>
                </c:pt>
                <c:pt idx="2">
                  <c:v>0.5</c:v>
                </c:pt>
                <c:pt idx="3">
                  <c:v>0.4</c:v>
                </c:pt>
                <c:pt idx="4">
                  <c:v>0.5</c:v>
                </c:pt>
                <c:pt idx="5">
                  <c:v>0.60000000000000053</c:v>
                </c:pt>
                <c:pt idx="6">
                  <c:v>0.4</c:v>
                </c:pt>
                <c:pt idx="7">
                  <c:v>0.30000000000000027</c:v>
                </c:pt>
                <c:pt idx="8">
                  <c:v>0.5</c:v>
                </c:pt>
                <c:pt idx="9">
                  <c:v>0.4</c:v>
                </c:pt>
                <c:pt idx="10">
                  <c:v>0.60000000000000053</c:v>
                </c:pt>
              </c:numCache>
            </c:numRef>
          </c:val>
        </c:ser>
        <c:ser>
          <c:idx val="4"/>
          <c:order val="4"/>
          <c:tx>
            <c:strRef>
              <c:f>'общая по страхованию'!$T$19</c:f>
              <c:strCache>
                <c:ptCount val="1"/>
                <c:pt idx="0">
                  <c:v>Кировская область</c:v>
                </c:pt>
              </c:strCache>
            </c:strRef>
          </c:tx>
          <c:cat>
            <c:numRef>
              <c:f>'общая по страхованию'!$U$14:$AE$14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страхованию'!$U$19:$AE$19</c:f>
              <c:numCache>
                <c:formatCode>General</c:formatCode>
                <c:ptCount val="11"/>
                <c:pt idx="0">
                  <c:v>0.60000000000000053</c:v>
                </c:pt>
                <c:pt idx="1">
                  <c:v>0.70000000000000051</c:v>
                </c:pt>
                <c:pt idx="2">
                  <c:v>0.5</c:v>
                </c:pt>
                <c:pt idx="3">
                  <c:v>0.4</c:v>
                </c:pt>
                <c:pt idx="4">
                  <c:v>0.4</c:v>
                </c:pt>
                <c:pt idx="5">
                  <c:v>0.30000000000000027</c:v>
                </c:pt>
                <c:pt idx="6">
                  <c:v>0.4</c:v>
                </c:pt>
                <c:pt idx="7">
                  <c:v>0.30000000000000027</c:v>
                </c:pt>
                <c:pt idx="8">
                  <c:v>0.4</c:v>
                </c:pt>
                <c:pt idx="9">
                  <c:v>0.30000000000000027</c:v>
                </c:pt>
                <c:pt idx="10">
                  <c:v>0.60000000000000053</c:v>
                </c:pt>
              </c:numCache>
            </c:numRef>
          </c:val>
        </c:ser>
        <c:marker val="1"/>
        <c:axId val="82210816"/>
        <c:axId val="82212736"/>
      </c:lineChart>
      <c:catAx>
        <c:axId val="82210816"/>
        <c:scaling>
          <c:orientation val="minMax"/>
        </c:scaling>
        <c:axPos val="b"/>
        <c:numFmt formatCode="General" sourceLinked="1"/>
        <c:tickLblPos val="nextTo"/>
        <c:crossAx val="82212736"/>
        <c:crosses val="autoZero"/>
        <c:auto val="1"/>
        <c:lblAlgn val="ctr"/>
        <c:lblOffset val="100"/>
      </c:catAx>
      <c:valAx>
        <c:axId val="82212736"/>
        <c:scaling>
          <c:orientation val="minMax"/>
        </c:scaling>
        <c:axPos val="l"/>
        <c:majorGridlines/>
        <c:numFmt formatCode="General" sourceLinked="1"/>
        <c:tickLblPos val="nextTo"/>
        <c:crossAx val="8221081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'общая по страхованию'!$T$45</c:f>
              <c:strCache>
                <c:ptCount val="1"/>
                <c:pt idx="0">
                  <c:v>Карачаево-Черкесская Республика</c:v>
                </c:pt>
              </c:strCache>
            </c:strRef>
          </c:tx>
          <c:cat>
            <c:numRef>
              <c:f>'общая по страхованию'!$U$44:$AE$44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страхованию'!$U$45:$AE$45</c:f>
              <c:numCache>
                <c:formatCode>General</c:formatCode>
                <c:ptCount val="11"/>
                <c:pt idx="0">
                  <c:v>0.4</c:v>
                </c:pt>
                <c:pt idx="1">
                  <c:v>0.30000000000000027</c:v>
                </c:pt>
                <c:pt idx="2">
                  <c:v>0.4</c:v>
                </c:pt>
                <c:pt idx="3">
                  <c:v>0.2</c:v>
                </c:pt>
                <c:pt idx="4">
                  <c:v>0.2</c:v>
                </c:pt>
                <c:pt idx="5">
                  <c:v>0.1</c:v>
                </c:pt>
                <c:pt idx="6">
                  <c:v>0</c:v>
                </c:pt>
                <c:pt idx="7">
                  <c:v>0</c:v>
                </c:pt>
                <c:pt idx="8">
                  <c:v>0</c:v>
                </c:pt>
                <c:pt idx="9">
                  <c:v>0</c:v>
                </c:pt>
                <c:pt idx="10">
                  <c:v>0</c:v>
                </c:pt>
              </c:numCache>
            </c:numRef>
          </c:val>
        </c:ser>
        <c:ser>
          <c:idx val="1"/>
          <c:order val="1"/>
          <c:tx>
            <c:strRef>
              <c:f>'общая по страхованию'!$T$46</c:f>
              <c:strCache>
                <c:ptCount val="1"/>
                <c:pt idx="0">
                  <c:v>Республика Северная Осетия – Алания</c:v>
                </c:pt>
              </c:strCache>
            </c:strRef>
          </c:tx>
          <c:cat>
            <c:numRef>
              <c:f>'общая по страхованию'!$U$44:$AE$44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страхованию'!$U$46:$AE$46</c:f>
              <c:numCache>
                <c:formatCode>General</c:formatCode>
                <c:ptCount val="11"/>
                <c:pt idx="0">
                  <c:v>0.2</c:v>
                </c:pt>
                <c:pt idx="1">
                  <c:v>0.30000000000000027</c:v>
                </c:pt>
                <c:pt idx="2">
                  <c:v>0.30000000000000027</c:v>
                </c:pt>
                <c:pt idx="3">
                  <c:v>0.2</c:v>
                </c:pt>
                <c:pt idx="4">
                  <c:v>0.1</c:v>
                </c:pt>
                <c:pt idx="5">
                  <c:v>0.2</c:v>
                </c:pt>
                <c:pt idx="6">
                  <c:v>0.1</c:v>
                </c:pt>
                <c:pt idx="7">
                  <c:v>0</c:v>
                </c:pt>
                <c:pt idx="8">
                  <c:v>0</c:v>
                </c:pt>
                <c:pt idx="9">
                  <c:v>0</c:v>
                </c:pt>
                <c:pt idx="10">
                  <c:v>0</c:v>
                </c:pt>
              </c:numCache>
            </c:numRef>
          </c:val>
        </c:ser>
        <c:ser>
          <c:idx val="2"/>
          <c:order val="2"/>
          <c:tx>
            <c:strRef>
              <c:f>'общая по страхованию'!$T$47</c:f>
              <c:strCache>
                <c:ptCount val="1"/>
                <c:pt idx="0">
                  <c:v>Чеченская Республика</c:v>
                </c:pt>
              </c:strCache>
            </c:strRef>
          </c:tx>
          <c:cat>
            <c:numRef>
              <c:f>'общая по страхованию'!$U$44:$AE$44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страхованию'!$U$47:$AE$47</c:f>
              <c:numCache>
                <c:formatCode>General</c:formatCode>
                <c:ptCount val="11"/>
                <c:pt idx="0">
                  <c:v>0.4</c:v>
                </c:pt>
                <c:pt idx="1">
                  <c:v>0.4</c:v>
                </c:pt>
                <c:pt idx="2">
                  <c:v>0</c:v>
                </c:pt>
                <c:pt idx="3">
                  <c:v>0.1</c:v>
                </c:pt>
                <c:pt idx="4">
                  <c:v>0.1</c:v>
                </c:pt>
                <c:pt idx="5">
                  <c:v>0.1</c:v>
                </c:pt>
                <c:pt idx="6">
                  <c:v>0.1</c:v>
                </c:pt>
                <c:pt idx="7">
                  <c:v>0.1</c:v>
                </c:pt>
                <c:pt idx="8">
                  <c:v>0</c:v>
                </c:pt>
                <c:pt idx="9">
                  <c:v>0</c:v>
                </c:pt>
                <c:pt idx="10">
                  <c:v>0</c:v>
                </c:pt>
              </c:numCache>
            </c:numRef>
          </c:val>
        </c:ser>
        <c:ser>
          <c:idx val="3"/>
          <c:order val="3"/>
          <c:tx>
            <c:strRef>
              <c:f>'общая по страхованию'!$T$48</c:f>
              <c:strCache>
                <c:ptCount val="1"/>
                <c:pt idx="0">
                  <c:v>Еврейская автономная область</c:v>
                </c:pt>
              </c:strCache>
            </c:strRef>
          </c:tx>
          <c:cat>
            <c:numRef>
              <c:f>'общая по страхованию'!$U$44:$AE$44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страхованию'!$U$48:$AE$48</c:f>
              <c:numCache>
                <c:formatCode>General</c:formatCode>
                <c:ptCount val="11"/>
                <c:pt idx="0">
                  <c:v>0.2</c:v>
                </c:pt>
                <c:pt idx="1">
                  <c:v>0.1</c:v>
                </c:pt>
                <c:pt idx="2">
                  <c:v>0</c:v>
                </c:pt>
                <c:pt idx="3">
                  <c:v>0.2</c:v>
                </c:pt>
                <c:pt idx="4">
                  <c:v>0.2</c:v>
                </c:pt>
                <c:pt idx="5">
                  <c:v>0.2</c:v>
                </c:pt>
                <c:pt idx="6">
                  <c:v>0.2</c:v>
                </c:pt>
                <c:pt idx="7">
                  <c:v>0.2</c:v>
                </c:pt>
                <c:pt idx="8">
                  <c:v>0.1</c:v>
                </c:pt>
                <c:pt idx="9">
                  <c:v>0.1</c:v>
                </c:pt>
                <c:pt idx="10">
                  <c:v>0</c:v>
                </c:pt>
              </c:numCache>
            </c:numRef>
          </c:val>
        </c:ser>
        <c:ser>
          <c:idx val="4"/>
          <c:order val="4"/>
          <c:tx>
            <c:strRef>
              <c:f>'общая по страхованию'!$T$49</c:f>
              <c:strCache>
                <c:ptCount val="1"/>
                <c:pt idx="0">
                  <c:v>Чукотский автономный область</c:v>
                </c:pt>
              </c:strCache>
            </c:strRef>
          </c:tx>
          <c:cat>
            <c:numRef>
              <c:f>'общая по страхованию'!$U$44:$AE$44</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'общая по страхованию'!$U$49:$AE$49</c:f>
              <c:numCache>
                <c:formatCode>General</c:formatCode>
                <c:ptCount val="11"/>
                <c:pt idx="0">
                  <c:v>0.1</c:v>
                </c:pt>
                <c:pt idx="1">
                  <c:v>0.2</c:v>
                </c:pt>
                <c:pt idx="2">
                  <c:v>0</c:v>
                </c:pt>
                <c:pt idx="3">
                  <c:v>0.1</c:v>
                </c:pt>
                <c:pt idx="4">
                  <c:v>0</c:v>
                </c:pt>
                <c:pt idx="5">
                  <c:v>0</c:v>
                </c:pt>
                <c:pt idx="6">
                  <c:v>0.1</c:v>
                </c:pt>
                <c:pt idx="7">
                  <c:v>0.2</c:v>
                </c:pt>
                <c:pt idx="8">
                  <c:v>0.30000000000000027</c:v>
                </c:pt>
                <c:pt idx="9">
                  <c:v>0.1</c:v>
                </c:pt>
                <c:pt idx="10">
                  <c:v>0</c:v>
                </c:pt>
              </c:numCache>
            </c:numRef>
          </c:val>
        </c:ser>
        <c:marker val="1"/>
        <c:axId val="151517824"/>
        <c:axId val="151552384"/>
      </c:lineChart>
      <c:catAx>
        <c:axId val="151517824"/>
        <c:scaling>
          <c:orientation val="minMax"/>
        </c:scaling>
        <c:axPos val="b"/>
        <c:numFmt formatCode="General" sourceLinked="1"/>
        <c:tickLblPos val="nextTo"/>
        <c:crossAx val="151552384"/>
        <c:crosses val="autoZero"/>
        <c:auto val="1"/>
        <c:lblAlgn val="ctr"/>
        <c:lblOffset val="100"/>
      </c:catAx>
      <c:valAx>
        <c:axId val="151552384"/>
        <c:scaling>
          <c:orientation val="minMax"/>
        </c:scaling>
        <c:axPos val="l"/>
        <c:majorGridlines/>
        <c:numFmt formatCode="General" sourceLinked="1"/>
        <c:tickLblPos val="nextTo"/>
        <c:crossAx val="151517824"/>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8140D-2D6A-4E15-89A7-07811BFD7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5</Pages>
  <Words>1468</Words>
  <Characters>8372</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moroshkina</cp:lastModifiedBy>
  <cp:revision>9</cp:revision>
  <cp:lastPrinted>2024-05-07T10:25:00Z</cp:lastPrinted>
  <dcterms:created xsi:type="dcterms:W3CDTF">2024-05-03T08:33:00Z</dcterms:created>
  <dcterms:modified xsi:type="dcterms:W3CDTF">2024-05-08T14:01:00Z</dcterms:modified>
</cp:coreProperties>
</file>