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534389" w14:textId="1753407D" w:rsidR="00392955" w:rsidRPr="00EF469A" w:rsidRDefault="00392955" w:rsidP="00EA010B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  <w:r w:rsidRPr="00EF469A">
        <w:rPr>
          <w:rFonts w:ascii="Times New Roman" w:hAnsi="Times New Roman"/>
          <w:b/>
          <w:sz w:val="24"/>
          <w:szCs w:val="24"/>
        </w:rPr>
        <w:t>Игонина</w:t>
      </w:r>
      <w:r w:rsidRPr="00392955"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Pr="00EF469A">
        <w:rPr>
          <w:rFonts w:ascii="Times New Roman" w:hAnsi="Times New Roman"/>
          <w:b/>
          <w:sz w:val="24"/>
          <w:szCs w:val="24"/>
        </w:rPr>
        <w:t>Л.Л.</w:t>
      </w:r>
      <w:proofErr w:type="gramEnd"/>
      <w:r>
        <w:rPr>
          <w:rStyle w:val="a6"/>
          <w:rFonts w:ascii="Times New Roman" w:hAnsi="Times New Roman"/>
          <w:b/>
          <w:sz w:val="24"/>
          <w:szCs w:val="24"/>
        </w:rPr>
        <w:footnoteReference w:id="1"/>
      </w:r>
      <w:r w:rsidRPr="00EF469A">
        <w:rPr>
          <w:rFonts w:ascii="Times New Roman" w:hAnsi="Times New Roman"/>
          <w:b/>
          <w:sz w:val="24"/>
          <w:szCs w:val="24"/>
        </w:rPr>
        <w:t xml:space="preserve"> </w:t>
      </w:r>
    </w:p>
    <w:p w14:paraId="76036995" w14:textId="12B91021" w:rsidR="00392955" w:rsidRPr="00EF469A" w:rsidRDefault="00392955" w:rsidP="00392955">
      <w:pPr>
        <w:spacing w:after="0" w:line="240" w:lineRule="auto"/>
        <w:ind w:firstLine="709"/>
        <w:jc w:val="righ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Михайлов</w:t>
      </w:r>
      <w:r w:rsidRPr="00392955"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b/>
          <w:sz w:val="24"/>
          <w:szCs w:val="24"/>
        </w:rPr>
        <w:t>В.В.</w:t>
      </w:r>
      <w:proofErr w:type="gramEnd"/>
      <w:r>
        <w:rPr>
          <w:rStyle w:val="a6"/>
          <w:rFonts w:ascii="Times New Roman" w:hAnsi="Times New Roman"/>
          <w:b/>
          <w:sz w:val="24"/>
          <w:szCs w:val="24"/>
        </w:rPr>
        <w:footnoteReference w:id="2"/>
      </w:r>
    </w:p>
    <w:p w14:paraId="254557CE" w14:textId="1A5F1C7C" w:rsidR="00B21945" w:rsidRDefault="00B21945" w:rsidP="00392955">
      <w:pPr>
        <w:spacing w:after="0"/>
        <w:rPr>
          <w:rFonts w:ascii="Times New Roman" w:hAnsi="Times New Roman"/>
          <w:sz w:val="24"/>
          <w:szCs w:val="24"/>
        </w:rPr>
      </w:pPr>
    </w:p>
    <w:p w14:paraId="185F259C" w14:textId="0FB4EA99" w:rsidR="00392955" w:rsidRDefault="00392955" w:rsidP="00392955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392955">
        <w:rPr>
          <w:rFonts w:ascii="Times New Roman" w:hAnsi="Times New Roman"/>
          <w:b/>
          <w:bCs/>
          <w:sz w:val="24"/>
          <w:szCs w:val="24"/>
        </w:rPr>
        <w:t>Оценка устойчивости национальной финансовой системы в контексте обеспечения финансового суверенитета России</w:t>
      </w:r>
    </w:p>
    <w:p w14:paraId="2A98B62B" w14:textId="71B0F0F8" w:rsidR="00392955" w:rsidRDefault="00392955" w:rsidP="0039295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2C19532E" w14:textId="5219FBD0" w:rsidR="00392955" w:rsidRDefault="00392955" w:rsidP="00392955">
      <w:pPr>
        <w:spacing w:after="0" w:line="240" w:lineRule="auto"/>
        <w:ind w:firstLine="426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Аннотация: </w:t>
      </w:r>
      <w:r w:rsidRPr="00392955">
        <w:rPr>
          <w:rFonts w:ascii="Times New Roman" w:hAnsi="Times New Roman"/>
          <w:i/>
          <w:iCs/>
        </w:rPr>
        <w:t>Проведенны</w:t>
      </w:r>
      <w:r w:rsidR="00F018A7">
        <w:rPr>
          <w:rFonts w:ascii="Times New Roman" w:hAnsi="Times New Roman"/>
          <w:i/>
          <w:iCs/>
        </w:rPr>
        <w:t>е</w:t>
      </w:r>
      <w:r>
        <w:rPr>
          <w:rFonts w:ascii="Times New Roman" w:hAnsi="Times New Roman"/>
          <w:i/>
          <w:iCs/>
        </w:rPr>
        <w:t xml:space="preserve"> в настоящем исследовании</w:t>
      </w:r>
      <w:r w:rsidRPr="00392955">
        <w:rPr>
          <w:rFonts w:ascii="Times New Roman" w:hAnsi="Times New Roman"/>
          <w:i/>
          <w:iCs/>
        </w:rPr>
        <w:t xml:space="preserve"> анализ и кластеризация ключевых индикаторов устойчивости финансовой системы России позволили определить наиболее уязвимы</w:t>
      </w:r>
      <w:r w:rsidR="00F018A7">
        <w:rPr>
          <w:rFonts w:ascii="Times New Roman" w:hAnsi="Times New Roman"/>
          <w:i/>
          <w:iCs/>
        </w:rPr>
        <w:t>й</w:t>
      </w:r>
      <w:r w:rsidRPr="00392955">
        <w:rPr>
          <w:rFonts w:ascii="Times New Roman" w:hAnsi="Times New Roman"/>
          <w:i/>
          <w:iCs/>
        </w:rPr>
        <w:t xml:space="preserve"> элемент национальной финансовой системы</w:t>
      </w:r>
      <w:r w:rsidR="00F018A7">
        <w:rPr>
          <w:rFonts w:ascii="Times New Roman" w:hAnsi="Times New Roman"/>
          <w:i/>
          <w:iCs/>
        </w:rPr>
        <w:t xml:space="preserve"> России</w:t>
      </w:r>
      <w:r w:rsidR="000D05B0">
        <w:rPr>
          <w:rFonts w:ascii="Times New Roman" w:hAnsi="Times New Roman"/>
          <w:i/>
          <w:iCs/>
        </w:rPr>
        <w:t>, а также предложить мероприятия по повышению устойчивости всех ее сфер и звеньев.</w:t>
      </w:r>
    </w:p>
    <w:p w14:paraId="1855F0D9" w14:textId="4BF4E111" w:rsidR="00392955" w:rsidRDefault="00392955" w:rsidP="00392955">
      <w:pPr>
        <w:spacing w:after="0" w:line="240" w:lineRule="auto"/>
        <w:ind w:firstLine="426"/>
        <w:rPr>
          <w:rFonts w:ascii="Times New Roman" w:hAnsi="Times New Roman"/>
          <w:i/>
          <w:iCs/>
        </w:rPr>
      </w:pPr>
      <w:r>
        <w:rPr>
          <w:rFonts w:ascii="Times New Roman" w:hAnsi="Times New Roman"/>
          <w:b/>
          <w:bCs/>
          <w:sz w:val="24"/>
          <w:szCs w:val="24"/>
        </w:rPr>
        <w:t>Ключевые слова:</w:t>
      </w:r>
      <w:r w:rsidR="00F018A7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F018A7" w:rsidRPr="00F018A7">
        <w:rPr>
          <w:rFonts w:ascii="Times New Roman" w:hAnsi="Times New Roman"/>
          <w:i/>
          <w:iCs/>
        </w:rPr>
        <w:t>устойчивость</w:t>
      </w:r>
      <w:r w:rsidR="00F018A7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F018A7">
        <w:rPr>
          <w:rFonts w:ascii="Times New Roman" w:hAnsi="Times New Roman"/>
          <w:i/>
          <w:iCs/>
        </w:rPr>
        <w:t>финансовой системы, финансовый суверенитет.</w:t>
      </w:r>
    </w:p>
    <w:p w14:paraId="0C6B2F02" w14:textId="06F70D70" w:rsidR="00F018A7" w:rsidRPr="00F018A7" w:rsidRDefault="00F018A7" w:rsidP="00392955">
      <w:pPr>
        <w:spacing w:after="0" w:line="240" w:lineRule="auto"/>
        <w:ind w:firstLine="426"/>
        <w:rPr>
          <w:rFonts w:ascii="Times New Roman" w:hAnsi="Times New Roman"/>
          <w:sz w:val="24"/>
          <w:szCs w:val="24"/>
        </w:rPr>
      </w:pPr>
    </w:p>
    <w:p w14:paraId="4ECB2D85" w14:textId="19D71131" w:rsidR="00F018A7" w:rsidRDefault="00F018A7" w:rsidP="00F018A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F018A7">
        <w:rPr>
          <w:rFonts w:ascii="Times New Roman" w:hAnsi="Times New Roman"/>
          <w:sz w:val="24"/>
          <w:szCs w:val="24"/>
        </w:rPr>
        <w:t xml:space="preserve">Кризисные явления и их поступательно ускоряющаяся цикличность </w:t>
      </w:r>
      <w:r w:rsidR="00EA010B">
        <w:rPr>
          <w:rFonts w:ascii="Times New Roman" w:hAnsi="Times New Roman"/>
          <w:sz w:val="24"/>
          <w:szCs w:val="24"/>
        </w:rPr>
        <w:t>—</w:t>
      </w:r>
      <w:r w:rsidRPr="00F018A7">
        <w:rPr>
          <w:rFonts w:ascii="Times New Roman" w:hAnsi="Times New Roman"/>
          <w:sz w:val="24"/>
          <w:szCs w:val="24"/>
        </w:rPr>
        <w:t xml:space="preserve"> объективно обусловленная реальность [1, 2], во многом определяющая вектор структурной трансформации социально-экономических систем и их финансовых составляющих как на национальном, так и на региональном уровнях [3]. При этом</w:t>
      </w:r>
      <w:r w:rsidR="00EA010B">
        <w:rPr>
          <w:rFonts w:ascii="Times New Roman" w:hAnsi="Times New Roman"/>
          <w:sz w:val="24"/>
          <w:szCs w:val="24"/>
        </w:rPr>
        <w:t>,</w:t>
      </w:r>
      <w:r w:rsidRPr="00F018A7">
        <w:rPr>
          <w:rFonts w:ascii="Times New Roman" w:hAnsi="Times New Roman"/>
          <w:sz w:val="24"/>
          <w:szCs w:val="24"/>
        </w:rPr>
        <w:t xml:space="preserve"> в силу </w:t>
      </w:r>
      <w:proofErr w:type="spellStart"/>
      <w:r w:rsidRPr="00F018A7">
        <w:rPr>
          <w:rFonts w:ascii="Times New Roman" w:hAnsi="Times New Roman"/>
          <w:sz w:val="24"/>
          <w:szCs w:val="24"/>
        </w:rPr>
        <w:t>коэволюции</w:t>
      </w:r>
      <w:proofErr w:type="spellEnd"/>
      <w:r w:rsidRPr="00F018A7">
        <w:rPr>
          <w:rFonts w:ascii="Times New Roman" w:hAnsi="Times New Roman"/>
          <w:sz w:val="24"/>
          <w:szCs w:val="24"/>
        </w:rPr>
        <w:t xml:space="preserve"> социально-экономических и финансовых систем [4]</w:t>
      </w:r>
      <w:r w:rsidR="00EA010B">
        <w:rPr>
          <w:rFonts w:ascii="Times New Roman" w:hAnsi="Times New Roman"/>
          <w:sz w:val="24"/>
          <w:szCs w:val="24"/>
        </w:rPr>
        <w:t>,</w:t>
      </w:r>
      <w:r w:rsidRPr="00F018A7">
        <w:rPr>
          <w:rFonts w:ascii="Times New Roman" w:hAnsi="Times New Roman"/>
          <w:sz w:val="24"/>
          <w:szCs w:val="24"/>
        </w:rPr>
        <w:t xml:space="preserve"> усиливающиеся макроэкономические кризисные шоки воздействуют на них, а слабость финансовых систем при недостаточном надзоре и отсутствии прозрачности [5] инициирует возникновение и углубление глобальных экономических кризисов. В данной связи повышение устойчивости современных национальных финансовых систем становится императивом позитивной социально-экономической динамики, что формирует потребность научных исследований в этой области. Проблема повышения устойчивости, актуальная для всех национальных финансовых систем, особо значима для финансовой системы России в контексте необходимости обеспечения финансового суверенитета страны в условиях существующей </w:t>
      </w:r>
      <w:proofErr w:type="spellStart"/>
      <w:r w:rsidRPr="00F018A7">
        <w:rPr>
          <w:rFonts w:ascii="Times New Roman" w:hAnsi="Times New Roman"/>
          <w:sz w:val="24"/>
          <w:szCs w:val="24"/>
        </w:rPr>
        <w:t>интернальной</w:t>
      </w:r>
      <w:proofErr w:type="spellEnd"/>
      <w:r w:rsidRPr="00F018A7">
        <w:rPr>
          <w:rFonts w:ascii="Times New Roman" w:hAnsi="Times New Roman"/>
          <w:sz w:val="24"/>
          <w:szCs w:val="24"/>
        </w:rPr>
        <w:t xml:space="preserve"> и экстернальной </w:t>
      </w:r>
      <w:proofErr w:type="spellStart"/>
      <w:r w:rsidRPr="00F018A7">
        <w:rPr>
          <w:rFonts w:ascii="Times New Roman" w:hAnsi="Times New Roman"/>
          <w:sz w:val="24"/>
          <w:szCs w:val="24"/>
        </w:rPr>
        <w:t>гипертурбулентности</w:t>
      </w:r>
      <w:proofErr w:type="spellEnd"/>
      <w:r w:rsidRPr="00F018A7">
        <w:rPr>
          <w:rFonts w:ascii="Times New Roman" w:hAnsi="Times New Roman"/>
          <w:sz w:val="24"/>
          <w:szCs w:val="24"/>
        </w:rPr>
        <w:t>, вызываемой эскалацией санкционного давления, ростом социально-экономической и этно-геополитической нестабильности.</w:t>
      </w:r>
    </w:p>
    <w:p w14:paraId="0EE41DEC" w14:textId="3C459E19" w:rsidR="00F018A7" w:rsidRDefault="00BC74E4" w:rsidP="00EA010B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Отметим, что если ранее вопросы значимости финансового суверенитета страны поднимались преимущественно зарубежными и отечественными академическими исследователями, то сегодня, в условиях, когда критически важно найти практическое решение его обеспечения, все чаще представители российской вертикали власти представляют свое видение финансового суверенитета России (таблица 1).</w:t>
      </w:r>
      <w:r w:rsidR="00DE3B7C" w:rsidRPr="00DE3B7C">
        <w:rPr>
          <w:rFonts w:ascii="Times New Roman" w:hAnsi="Times New Roman"/>
          <w:sz w:val="24"/>
          <w:szCs w:val="24"/>
        </w:rPr>
        <w:t xml:space="preserve"> </w:t>
      </w:r>
      <w:r w:rsidR="00DE3B7C">
        <w:rPr>
          <w:rFonts w:ascii="Times New Roman" w:hAnsi="Times New Roman"/>
          <w:sz w:val="24"/>
          <w:szCs w:val="24"/>
        </w:rPr>
        <w:t xml:space="preserve">В этом контексте ключевая роль в достижении финансового суверенитета проявляется именно в способности </w:t>
      </w:r>
      <w:r w:rsidR="00EA010B">
        <w:rPr>
          <w:rFonts w:ascii="Times New Roman" w:hAnsi="Times New Roman"/>
          <w:sz w:val="24"/>
          <w:szCs w:val="24"/>
        </w:rPr>
        <w:t xml:space="preserve">национальной </w:t>
      </w:r>
      <w:r w:rsidR="00DE3B7C">
        <w:rPr>
          <w:rFonts w:ascii="Times New Roman" w:hAnsi="Times New Roman"/>
          <w:sz w:val="24"/>
          <w:szCs w:val="24"/>
        </w:rPr>
        <w:t xml:space="preserve">финансовой системы устойчиво и бесперебойно функционировать и развиваться. </w:t>
      </w:r>
    </w:p>
    <w:p w14:paraId="5453A253" w14:textId="58062884" w:rsidR="00BC74E4" w:rsidRDefault="00BC74E4" w:rsidP="00E5301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Таблица 1 — Обзор мнений зарубежных и отечественных исследователей и представителей российской вертикали власти о финансовом суверенитете</w:t>
      </w:r>
      <w:r w:rsidR="00E5301D">
        <w:rPr>
          <w:rFonts w:ascii="Times New Roman" w:hAnsi="Times New Roman"/>
          <w:sz w:val="24"/>
          <w:szCs w:val="24"/>
        </w:rPr>
        <w:t xml:space="preserve"> (составлено автором)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1980"/>
        <w:gridCol w:w="7648"/>
      </w:tblGrid>
      <w:tr w:rsidR="00BC74E4" w:rsidRPr="00BC74E4" w14:paraId="037CA80C" w14:textId="77777777" w:rsidTr="008B010B">
        <w:tc>
          <w:tcPr>
            <w:tcW w:w="1980" w:type="dxa"/>
          </w:tcPr>
          <w:p w14:paraId="5B7AE02C" w14:textId="2E85C5E1" w:rsidR="00BC74E4" w:rsidRPr="00BC74E4" w:rsidRDefault="00BC74E4" w:rsidP="008B010B">
            <w:pPr>
              <w:spacing w:after="0" w:line="216" w:lineRule="auto"/>
              <w:jc w:val="both"/>
              <w:rPr>
                <w:rFonts w:ascii="Times New Roman" w:hAnsi="Times New Roman"/>
              </w:rPr>
            </w:pPr>
            <w:r w:rsidRPr="00BC74E4">
              <w:rPr>
                <w:rFonts w:ascii="Times New Roman" w:hAnsi="Times New Roman"/>
              </w:rPr>
              <w:t>Автор</w:t>
            </w:r>
          </w:p>
        </w:tc>
        <w:tc>
          <w:tcPr>
            <w:tcW w:w="7648" w:type="dxa"/>
          </w:tcPr>
          <w:p w14:paraId="13F6F0B2" w14:textId="07322B76" w:rsidR="00BC74E4" w:rsidRPr="00BC74E4" w:rsidRDefault="00BC74E4" w:rsidP="008B010B">
            <w:pPr>
              <w:spacing w:after="0" w:line="216" w:lineRule="auto"/>
              <w:jc w:val="both"/>
              <w:rPr>
                <w:rFonts w:ascii="Times New Roman" w:hAnsi="Times New Roman"/>
              </w:rPr>
            </w:pPr>
            <w:r w:rsidRPr="00BC74E4">
              <w:rPr>
                <w:rFonts w:ascii="Times New Roman" w:hAnsi="Times New Roman"/>
              </w:rPr>
              <w:t>Содержание</w:t>
            </w:r>
          </w:p>
        </w:tc>
      </w:tr>
      <w:tr w:rsidR="00BC74E4" w:rsidRPr="00BC74E4" w14:paraId="3FD14AFD" w14:textId="77777777" w:rsidTr="008B010B">
        <w:tc>
          <w:tcPr>
            <w:tcW w:w="1980" w:type="dxa"/>
          </w:tcPr>
          <w:p w14:paraId="4FA9A159" w14:textId="0C463554" w:rsidR="00BC74E4" w:rsidRPr="008B010B" w:rsidRDefault="008B010B" w:rsidP="008B010B">
            <w:pPr>
              <w:spacing w:after="0" w:line="216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Андреева </w:t>
            </w:r>
            <w:proofErr w:type="gramStart"/>
            <w:r>
              <w:rPr>
                <w:rFonts w:ascii="Times New Roman" w:hAnsi="Times New Roman"/>
              </w:rPr>
              <w:t>О.В.</w:t>
            </w:r>
            <w:proofErr w:type="gramEnd"/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lang w:val="en-US"/>
              </w:rPr>
              <w:t>Pistor</w:t>
            </w:r>
            <w:proofErr w:type="spellEnd"/>
            <w:r w:rsidRPr="008B010B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  <w:lang w:val="en-US"/>
              </w:rPr>
              <w:t>K</w:t>
            </w:r>
            <w:r>
              <w:rPr>
                <w:rFonts w:ascii="Times New Roman" w:hAnsi="Times New Roman"/>
              </w:rPr>
              <w:t>.</w:t>
            </w:r>
          </w:p>
        </w:tc>
        <w:tc>
          <w:tcPr>
            <w:tcW w:w="7648" w:type="dxa"/>
          </w:tcPr>
          <w:p w14:paraId="399FBAE2" w14:textId="3CA373C8" w:rsidR="00BC74E4" w:rsidRPr="00BC74E4" w:rsidRDefault="00BC74E4" w:rsidP="008B010B">
            <w:pPr>
              <w:spacing w:after="0" w:line="216" w:lineRule="auto"/>
              <w:jc w:val="both"/>
              <w:rPr>
                <w:rFonts w:ascii="Times New Roman" w:hAnsi="Times New Roman"/>
              </w:rPr>
            </w:pPr>
            <w:r w:rsidRPr="00BC74E4">
              <w:rPr>
                <w:rFonts w:ascii="Times New Roman" w:hAnsi="Times New Roman"/>
              </w:rPr>
              <w:t>Финансовый суверенитет — базовое условие</w:t>
            </w:r>
            <w:r>
              <w:rPr>
                <w:rFonts w:ascii="Times New Roman" w:hAnsi="Times New Roman"/>
              </w:rPr>
              <w:t xml:space="preserve"> достижения экономической суверенности национальных государств, которое во многом </w:t>
            </w:r>
            <w:r w:rsidR="008B010B">
              <w:rPr>
                <w:rFonts w:ascii="Times New Roman" w:hAnsi="Times New Roman"/>
              </w:rPr>
              <w:t>детерминирует</w:t>
            </w:r>
            <w:r>
              <w:rPr>
                <w:rFonts w:ascii="Times New Roman" w:hAnsi="Times New Roman"/>
              </w:rPr>
              <w:t xml:space="preserve"> государственный суверенитет</w:t>
            </w:r>
            <w:r w:rsidR="008B010B">
              <w:rPr>
                <w:rFonts w:ascii="Times New Roman" w:hAnsi="Times New Roman"/>
              </w:rPr>
              <w:t xml:space="preserve"> </w:t>
            </w:r>
            <w:r w:rsidR="008B010B" w:rsidRPr="008B010B">
              <w:rPr>
                <w:rFonts w:ascii="Times New Roman" w:hAnsi="Times New Roman"/>
              </w:rPr>
              <w:t>[6</w:t>
            </w:r>
            <w:r w:rsidR="008B010B">
              <w:rPr>
                <w:rFonts w:ascii="Times New Roman" w:hAnsi="Times New Roman"/>
              </w:rPr>
              <w:t>, 7</w:t>
            </w:r>
            <w:r w:rsidR="008B010B" w:rsidRPr="008B010B">
              <w:rPr>
                <w:rFonts w:ascii="Times New Roman" w:hAnsi="Times New Roman"/>
              </w:rPr>
              <w:t>]</w:t>
            </w:r>
            <w:r>
              <w:rPr>
                <w:rFonts w:ascii="Times New Roman" w:hAnsi="Times New Roman"/>
              </w:rPr>
              <w:t>.</w:t>
            </w:r>
            <w:r w:rsidRPr="00BC74E4">
              <w:rPr>
                <w:rFonts w:ascii="Times New Roman" w:hAnsi="Times New Roman"/>
              </w:rPr>
              <w:t xml:space="preserve"> </w:t>
            </w:r>
          </w:p>
        </w:tc>
      </w:tr>
      <w:tr w:rsidR="00BC74E4" w:rsidRPr="00BC74E4" w14:paraId="0CD00DD0" w14:textId="77777777" w:rsidTr="008B010B">
        <w:tc>
          <w:tcPr>
            <w:tcW w:w="1980" w:type="dxa"/>
          </w:tcPr>
          <w:p w14:paraId="02D75826" w14:textId="4DA68895" w:rsidR="00BC74E4" w:rsidRPr="00BC74E4" w:rsidRDefault="008B010B" w:rsidP="008B010B">
            <w:pPr>
              <w:spacing w:after="0" w:line="216" w:lineRule="auto"/>
              <w:jc w:val="both"/>
              <w:rPr>
                <w:rFonts w:ascii="Times New Roman" w:hAnsi="Times New Roman"/>
              </w:rPr>
            </w:pPr>
            <w:r w:rsidRPr="008B010B">
              <w:rPr>
                <w:rFonts w:ascii="Times New Roman" w:hAnsi="Times New Roman"/>
              </w:rPr>
              <w:t xml:space="preserve">Дудин </w:t>
            </w:r>
            <w:proofErr w:type="gramStart"/>
            <w:r w:rsidRPr="008B010B">
              <w:rPr>
                <w:rFonts w:ascii="Times New Roman" w:hAnsi="Times New Roman"/>
              </w:rPr>
              <w:t>М.Н.</w:t>
            </w:r>
            <w:proofErr w:type="gramEnd"/>
            <w:r w:rsidRPr="008B010B">
              <w:rPr>
                <w:rFonts w:ascii="Times New Roman" w:hAnsi="Times New Roman"/>
              </w:rPr>
              <w:t xml:space="preserve">, </w:t>
            </w:r>
            <w:proofErr w:type="spellStart"/>
            <w:r w:rsidRPr="008B010B">
              <w:rPr>
                <w:rFonts w:ascii="Times New Roman" w:hAnsi="Times New Roman"/>
              </w:rPr>
              <w:t>Шкодинский</w:t>
            </w:r>
            <w:proofErr w:type="spellEnd"/>
            <w:r w:rsidRPr="008B010B">
              <w:rPr>
                <w:rFonts w:ascii="Times New Roman" w:hAnsi="Times New Roman"/>
              </w:rPr>
              <w:t xml:space="preserve"> С.В., Иванов М.О.</w:t>
            </w:r>
          </w:p>
        </w:tc>
        <w:tc>
          <w:tcPr>
            <w:tcW w:w="7648" w:type="dxa"/>
          </w:tcPr>
          <w:p w14:paraId="1A5D6A9F" w14:textId="4179D0B1" w:rsidR="00BC74E4" w:rsidRPr="008B010B" w:rsidRDefault="008B010B" w:rsidP="008B010B">
            <w:pPr>
              <w:spacing w:after="0" w:line="216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Финансовый суверенитет — </w:t>
            </w:r>
            <w:r w:rsidRPr="008B010B">
              <w:rPr>
                <w:rFonts w:ascii="Times New Roman" w:hAnsi="Times New Roman"/>
              </w:rPr>
              <w:t>фундаментальный признак государства, предполагающий способность национальной финансовой системы сохранять устойчивость и независимость от внешних шоков</w:t>
            </w:r>
            <w:r>
              <w:rPr>
                <w:rFonts w:ascii="Times New Roman" w:hAnsi="Times New Roman"/>
              </w:rPr>
              <w:t xml:space="preserve"> </w:t>
            </w:r>
            <w:r w:rsidRPr="008B010B">
              <w:rPr>
                <w:rFonts w:ascii="Times New Roman" w:hAnsi="Times New Roman"/>
              </w:rPr>
              <w:t>[8]</w:t>
            </w:r>
            <w:r>
              <w:rPr>
                <w:rFonts w:ascii="Times New Roman" w:hAnsi="Times New Roman"/>
              </w:rPr>
              <w:t>.</w:t>
            </w:r>
          </w:p>
        </w:tc>
      </w:tr>
      <w:tr w:rsidR="00BC74E4" w:rsidRPr="00BC74E4" w14:paraId="7873860C" w14:textId="77777777" w:rsidTr="008B010B">
        <w:tc>
          <w:tcPr>
            <w:tcW w:w="1980" w:type="dxa"/>
          </w:tcPr>
          <w:p w14:paraId="1E5C2A99" w14:textId="5CB01A40" w:rsidR="00BC74E4" w:rsidRPr="00BC74E4" w:rsidRDefault="008B010B" w:rsidP="008B010B">
            <w:pPr>
              <w:spacing w:after="0" w:line="216" w:lineRule="auto"/>
              <w:jc w:val="both"/>
              <w:rPr>
                <w:rFonts w:ascii="Times New Roman" w:hAnsi="Times New Roman"/>
              </w:rPr>
            </w:pPr>
            <w:r w:rsidRPr="008B010B">
              <w:rPr>
                <w:rFonts w:ascii="Times New Roman" w:hAnsi="Times New Roman"/>
              </w:rPr>
              <w:t xml:space="preserve">М.В. </w:t>
            </w:r>
            <w:proofErr w:type="spellStart"/>
            <w:r w:rsidRPr="008B010B">
              <w:rPr>
                <w:rFonts w:ascii="Times New Roman" w:hAnsi="Times New Roman"/>
              </w:rPr>
              <w:t>Мишустин</w:t>
            </w:r>
            <w:proofErr w:type="spellEnd"/>
            <w:r w:rsidRPr="008B010B">
              <w:rPr>
                <w:rFonts w:ascii="Times New Roman" w:hAnsi="Times New Roman"/>
              </w:rPr>
              <w:t>, А.Г. Силуанов</w:t>
            </w:r>
          </w:p>
        </w:tc>
        <w:tc>
          <w:tcPr>
            <w:tcW w:w="7648" w:type="dxa"/>
          </w:tcPr>
          <w:p w14:paraId="50DAE442" w14:textId="2E75DC3E" w:rsidR="00BC74E4" w:rsidRPr="008B010B" w:rsidRDefault="008B010B" w:rsidP="008B010B">
            <w:pPr>
              <w:spacing w:after="0" w:line="216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Основа финансового суверенитета России — </w:t>
            </w:r>
            <w:r w:rsidRPr="008B010B">
              <w:rPr>
                <w:rFonts w:ascii="Times New Roman" w:hAnsi="Times New Roman"/>
              </w:rPr>
              <w:t>преимущественное использование собственных внутренних финансовых источников, т. е. способность страны  «жить по средствам»</w:t>
            </w:r>
            <w:r>
              <w:rPr>
                <w:rFonts w:ascii="Times New Roman" w:hAnsi="Times New Roman"/>
              </w:rPr>
              <w:t xml:space="preserve"> </w:t>
            </w:r>
            <w:r w:rsidRPr="008B010B">
              <w:rPr>
                <w:rFonts w:ascii="Times New Roman" w:hAnsi="Times New Roman"/>
              </w:rPr>
              <w:t>[9]</w:t>
            </w:r>
          </w:p>
        </w:tc>
      </w:tr>
      <w:tr w:rsidR="00BC74E4" w:rsidRPr="00BC74E4" w14:paraId="0C880FA1" w14:textId="77777777" w:rsidTr="008B010B">
        <w:tc>
          <w:tcPr>
            <w:tcW w:w="1980" w:type="dxa"/>
          </w:tcPr>
          <w:p w14:paraId="6FD30CB8" w14:textId="35D9A326" w:rsidR="00BC74E4" w:rsidRPr="008B010B" w:rsidRDefault="008B010B" w:rsidP="008B010B">
            <w:pPr>
              <w:spacing w:after="0" w:line="216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Э.С. Набиуллина</w:t>
            </w:r>
          </w:p>
        </w:tc>
        <w:tc>
          <w:tcPr>
            <w:tcW w:w="7648" w:type="dxa"/>
          </w:tcPr>
          <w:p w14:paraId="0E9BDD5E" w14:textId="0E070803" w:rsidR="00BC74E4" w:rsidRPr="008B010B" w:rsidRDefault="008B010B" w:rsidP="008B010B">
            <w:pPr>
              <w:spacing w:after="0" w:line="216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Финансовый суверенитет связан </w:t>
            </w:r>
            <w:r w:rsidRPr="008B010B">
              <w:rPr>
                <w:rFonts w:ascii="Times New Roman" w:hAnsi="Times New Roman"/>
              </w:rPr>
              <w:t>с проведением независимой и поступательной монетарной политики, устойчивой к внешним шокам</w:t>
            </w:r>
            <w:r>
              <w:rPr>
                <w:rFonts w:ascii="Times New Roman" w:hAnsi="Times New Roman"/>
              </w:rPr>
              <w:t xml:space="preserve"> </w:t>
            </w:r>
            <w:r w:rsidRPr="008B010B">
              <w:rPr>
                <w:rFonts w:ascii="Times New Roman" w:hAnsi="Times New Roman"/>
              </w:rPr>
              <w:t>[10]</w:t>
            </w:r>
          </w:p>
        </w:tc>
      </w:tr>
    </w:tbl>
    <w:p w14:paraId="1611CA5C" w14:textId="428C2347" w:rsidR="008B010B" w:rsidRDefault="008B010B" w:rsidP="00F018A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53223C7" w14:textId="47F1F5A7" w:rsidR="00DE3B7C" w:rsidRDefault="00DE3B7C" w:rsidP="00F018A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рамках настоящего исследования будем исходить из сложившегося в научном поле триптиха ключевых критериев устойчивости финансовых систем</w:t>
      </w:r>
      <w:r w:rsidR="00F12A18">
        <w:rPr>
          <w:rFonts w:ascii="Times New Roman" w:hAnsi="Times New Roman"/>
          <w:sz w:val="24"/>
          <w:szCs w:val="24"/>
        </w:rPr>
        <w:t xml:space="preserve"> </w:t>
      </w:r>
      <w:r w:rsidR="00F12A18" w:rsidRPr="00F12A18">
        <w:rPr>
          <w:rFonts w:ascii="Times New Roman" w:hAnsi="Times New Roman"/>
          <w:sz w:val="24"/>
          <w:szCs w:val="24"/>
        </w:rPr>
        <w:t>[</w:t>
      </w:r>
      <w:r w:rsidR="00F12A18">
        <w:rPr>
          <w:rFonts w:ascii="Times New Roman" w:hAnsi="Times New Roman"/>
          <w:sz w:val="24"/>
          <w:szCs w:val="24"/>
        </w:rPr>
        <w:t>11, 12</w:t>
      </w:r>
      <w:r w:rsidR="00F12A18" w:rsidRPr="00F12A18">
        <w:rPr>
          <w:rFonts w:ascii="Times New Roman" w:hAnsi="Times New Roman"/>
          <w:sz w:val="24"/>
          <w:szCs w:val="24"/>
        </w:rPr>
        <w:t>]</w:t>
      </w:r>
      <w:r>
        <w:rPr>
          <w:rFonts w:ascii="Times New Roman" w:hAnsi="Times New Roman"/>
          <w:sz w:val="24"/>
          <w:szCs w:val="24"/>
        </w:rPr>
        <w:t>, включая обеспеченность страны финансовыми ресурсами (с точки зрения ресурсной организации); маневренность и динамичную сбалансированность структурных элементов (с точки зрения структурной организации); и эфф</w:t>
      </w:r>
      <w:r w:rsidR="00F12A18">
        <w:rPr>
          <w:rFonts w:ascii="Times New Roman" w:hAnsi="Times New Roman"/>
          <w:sz w:val="24"/>
          <w:szCs w:val="24"/>
        </w:rPr>
        <w:t xml:space="preserve">ективность протекающих процессов формирования, распределения и использования финансовых ресурсов (с точки зрения функциональной организации). Совмещение данных факторов во времени и пространстве позволяет финансовой системе достичь состояния устойчивости, однако различного рода внешние и внутренние шоки могут оказать на него негативное воздействие и дестабилизировать ситуацию. В этих условиях устойчивость финансовой системы будем определять степенью стабильности наименее уязвимого ее звена. </w:t>
      </w:r>
    </w:p>
    <w:p w14:paraId="2869DD17" w14:textId="4BBDAE6A" w:rsidR="00F12A18" w:rsidRDefault="00F12A18" w:rsidP="00F018A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Анализируя устойчивость финансовой системы России, будем исходить из </w:t>
      </w:r>
      <w:r w:rsidR="00EA010B">
        <w:rPr>
          <w:rFonts w:ascii="Times New Roman" w:hAnsi="Times New Roman"/>
          <w:sz w:val="24"/>
          <w:szCs w:val="24"/>
        </w:rPr>
        <w:t>резистентности</w:t>
      </w:r>
      <w:r>
        <w:rPr>
          <w:rFonts w:ascii="Times New Roman" w:hAnsi="Times New Roman"/>
          <w:sz w:val="24"/>
          <w:szCs w:val="24"/>
        </w:rPr>
        <w:t xml:space="preserve"> отдельных ее элементов — сфер и звеньев</w:t>
      </w:r>
      <w:r w:rsidR="00AD11EF">
        <w:rPr>
          <w:rFonts w:ascii="Times New Roman" w:hAnsi="Times New Roman"/>
          <w:sz w:val="24"/>
          <w:szCs w:val="24"/>
        </w:rPr>
        <w:t xml:space="preserve">, включая общественные финансы, финансы нефинансовых организаций, финансы финансовых посредников и финансы домохозяйств. </w:t>
      </w:r>
      <w:r w:rsidR="007D7702">
        <w:rPr>
          <w:rFonts w:ascii="Times New Roman" w:hAnsi="Times New Roman"/>
          <w:sz w:val="24"/>
          <w:szCs w:val="24"/>
        </w:rPr>
        <w:t>И</w:t>
      </w:r>
      <w:r w:rsidR="00AD11EF">
        <w:rPr>
          <w:rFonts w:ascii="Times New Roman" w:hAnsi="Times New Roman"/>
          <w:sz w:val="24"/>
          <w:szCs w:val="24"/>
        </w:rPr>
        <w:t xml:space="preserve">сходными данными исследования </w:t>
      </w:r>
      <w:r w:rsidR="007D7702">
        <w:rPr>
          <w:rFonts w:ascii="Times New Roman" w:hAnsi="Times New Roman"/>
          <w:sz w:val="24"/>
          <w:szCs w:val="24"/>
        </w:rPr>
        <w:t>по</w:t>
      </w:r>
      <w:r w:rsidR="00AD11EF">
        <w:rPr>
          <w:rFonts w:ascii="Times New Roman" w:hAnsi="Times New Roman"/>
          <w:sz w:val="24"/>
          <w:szCs w:val="24"/>
        </w:rPr>
        <w:t>служат ключевые показатели их развития за период 2014–2022 гг.</w:t>
      </w:r>
      <w:r w:rsidR="00E5301D">
        <w:rPr>
          <w:rFonts w:ascii="Times New Roman" w:hAnsi="Times New Roman"/>
          <w:sz w:val="24"/>
          <w:szCs w:val="24"/>
        </w:rPr>
        <w:t xml:space="preserve"> (таблица 2)</w:t>
      </w:r>
      <w:r w:rsidR="007D7702">
        <w:rPr>
          <w:rFonts w:ascii="Times New Roman" w:hAnsi="Times New Roman"/>
          <w:sz w:val="24"/>
          <w:szCs w:val="24"/>
        </w:rPr>
        <w:t xml:space="preserve">, а саму степень устойчивости будем оценивать с помощью таких показателей, как коэффициент </w:t>
      </w:r>
      <w:proofErr w:type="spellStart"/>
      <w:r w:rsidR="007D7702">
        <w:rPr>
          <w:rFonts w:ascii="Times New Roman" w:hAnsi="Times New Roman"/>
          <w:sz w:val="24"/>
          <w:szCs w:val="24"/>
        </w:rPr>
        <w:t>Спирмена</w:t>
      </w:r>
      <w:proofErr w:type="spellEnd"/>
      <w:r w:rsidR="007D7702">
        <w:rPr>
          <w:rFonts w:ascii="Times New Roman" w:hAnsi="Times New Roman"/>
          <w:sz w:val="24"/>
          <w:szCs w:val="24"/>
        </w:rPr>
        <w:t xml:space="preserve"> и индекс корреляции. При этом значения коэффициента </w:t>
      </w:r>
      <w:proofErr w:type="spellStart"/>
      <w:r w:rsidR="007D7702">
        <w:rPr>
          <w:rFonts w:ascii="Times New Roman" w:hAnsi="Times New Roman"/>
          <w:sz w:val="24"/>
          <w:szCs w:val="24"/>
        </w:rPr>
        <w:t>Спирмена</w:t>
      </w:r>
      <w:proofErr w:type="spellEnd"/>
      <w:r w:rsidR="007D7702">
        <w:rPr>
          <w:rFonts w:ascii="Times New Roman" w:hAnsi="Times New Roman"/>
          <w:sz w:val="24"/>
          <w:szCs w:val="24"/>
        </w:rPr>
        <w:t xml:space="preserve"> характеризуют устойчивость трендов динамических рядов (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СП</m:t>
            </m:r>
          </m:sub>
        </m:sSub>
        <m:r>
          <w:rPr>
            <w:rFonts w:ascii="Cambria Math" w:hAnsi="Cambria Math"/>
            <w:sz w:val="24"/>
            <w:szCs w:val="24"/>
          </w:rPr>
          <m:t xml:space="preserve"> </m:t>
        </m:r>
      </m:oMath>
      <w:r w:rsidR="007D7702">
        <w:rPr>
          <w:rFonts w:ascii="Cambria Math" w:hAnsi="Cambria Math" w:cs="Cambria Math"/>
          <w:color w:val="040C28"/>
          <w:sz w:val="30"/>
          <w:szCs w:val="30"/>
        </w:rPr>
        <w:t>∈</w:t>
      </w:r>
      <w:r w:rsidR="007D7702" w:rsidRPr="007D7702">
        <w:rPr>
          <w:rFonts w:ascii="Times New Roman" w:hAnsi="Times New Roman"/>
          <w:sz w:val="24"/>
          <w:szCs w:val="24"/>
        </w:rPr>
        <w:t xml:space="preserve"> [</w:t>
      </w:r>
      <w:r w:rsidR="007D7702">
        <w:rPr>
          <w:rFonts w:ascii="Times New Roman" w:hAnsi="Times New Roman"/>
          <w:sz w:val="24"/>
          <w:szCs w:val="24"/>
        </w:rPr>
        <w:t>0; 0,5</w:t>
      </w:r>
      <w:r w:rsidR="007D7702" w:rsidRPr="007D7702">
        <w:rPr>
          <w:rFonts w:ascii="Times New Roman" w:hAnsi="Times New Roman"/>
          <w:sz w:val="24"/>
          <w:szCs w:val="24"/>
        </w:rPr>
        <w:t>]</w:t>
      </w:r>
      <w:r w:rsidR="007D7702">
        <w:rPr>
          <w:rFonts w:ascii="Times New Roman" w:hAnsi="Times New Roman"/>
          <w:sz w:val="24"/>
          <w:szCs w:val="24"/>
        </w:rPr>
        <w:t xml:space="preserve"> — тренды хаотичны;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СП</m:t>
            </m:r>
          </m:sub>
        </m:sSub>
        <m:r>
          <w:rPr>
            <w:rFonts w:ascii="Cambria Math" w:hAnsi="Cambria Math"/>
            <w:sz w:val="24"/>
            <w:szCs w:val="24"/>
          </w:rPr>
          <m:t xml:space="preserve"> </m:t>
        </m:r>
      </m:oMath>
      <w:r w:rsidR="007D7702">
        <w:rPr>
          <w:rFonts w:ascii="Cambria Math" w:hAnsi="Cambria Math" w:cs="Cambria Math"/>
          <w:color w:val="040C28"/>
          <w:sz w:val="30"/>
          <w:szCs w:val="30"/>
        </w:rPr>
        <w:t>∈</w:t>
      </w:r>
      <w:r w:rsidR="007D7702" w:rsidRPr="007D7702">
        <w:rPr>
          <w:rFonts w:ascii="Times New Roman" w:hAnsi="Times New Roman"/>
          <w:sz w:val="24"/>
          <w:szCs w:val="24"/>
        </w:rPr>
        <w:t xml:space="preserve"> </w:t>
      </w:r>
      <w:r w:rsidR="007D7702">
        <w:rPr>
          <w:rFonts w:ascii="Times New Roman" w:hAnsi="Times New Roman"/>
          <w:sz w:val="24"/>
          <w:szCs w:val="24"/>
        </w:rPr>
        <w:t>(0,5; 1</w:t>
      </w:r>
      <w:r w:rsidR="007D7702" w:rsidRPr="007D7702">
        <w:rPr>
          <w:rFonts w:ascii="Times New Roman" w:hAnsi="Times New Roman"/>
          <w:sz w:val="24"/>
          <w:szCs w:val="24"/>
        </w:rPr>
        <w:t>]</w:t>
      </w:r>
      <w:r w:rsidR="007D7702">
        <w:rPr>
          <w:rFonts w:ascii="Times New Roman" w:hAnsi="Times New Roman"/>
          <w:sz w:val="24"/>
          <w:szCs w:val="24"/>
        </w:rPr>
        <w:t xml:space="preserve"> — тренды динамического ряда устойчивы), тогда как значения индекса корреляции будут свидетельствовать о сопряженности рассматриваемых величин во времени, косвенно говоря об их статистической значимости (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I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к</m:t>
            </m:r>
          </m:sub>
        </m:sSub>
        <m:r>
          <w:rPr>
            <w:rFonts w:ascii="Cambria Math" w:hAnsi="Cambria Math"/>
            <w:sz w:val="24"/>
            <w:szCs w:val="24"/>
          </w:rPr>
          <m:t xml:space="preserve"> </m:t>
        </m:r>
      </m:oMath>
      <w:r w:rsidR="007D7702">
        <w:rPr>
          <w:rFonts w:ascii="Cambria Math" w:hAnsi="Cambria Math" w:cs="Cambria Math"/>
          <w:color w:val="040C28"/>
          <w:sz w:val="30"/>
          <w:szCs w:val="30"/>
        </w:rPr>
        <w:t>∈</w:t>
      </w:r>
      <w:r w:rsidR="007D7702" w:rsidRPr="007D7702">
        <w:rPr>
          <w:rFonts w:ascii="Times New Roman" w:hAnsi="Times New Roman"/>
          <w:sz w:val="24"/>
          <w:szCs w:val="24"/>
        </w:rPr>
        <w:t xml:space="preserve"> [</w:t>
      </w:r>
      <w:r w:rsidR="007D7702">
        <w:rPr>
          <w:rFonts w:ascii="Times New Roman" w:hAnsi="Times New Roman"/>
          <w:sz w:val="24"/>
          <w:szCs w:val="24"/>
        </w:rPr>
        <w:t>0; 0,5</w:t>
      </w:r>
      <w:r w:rsidR="007D7702" w:rsidRPr="007D7702">
        <w:rPr>
          <w:rFonts w:ascii="Times New Roman" w:hAnsi="Times New Roman"/>
          <w:sz w:val="24"/>
          <w:szCs w:val="24"/>
        </w:rPr>
        <w:t>]</w:t>
      </w:r>
      <w:r w:rsidR="007D7702">
        <w:rPr>
          <w:rFonts w:ascii="Times New Roman" w:hAnsi="Times New Roman"/>
          <w:sz w:val="24"/>
          <w:szCs w:val="24"/>
        </w:rPr>
        <w:t xml:space="preserve"> — сопряженность слабая или отсутствует вовсе;</w:t>
      </w:r>
      <m:oMath>
        <m:r>
          <w:rPr>
            <w:rFonts w:ascii="Cambria Math" w:hAnsi="Cambria Math"/>
            <w:sz w:val="24"/>
            <w:szCs w:val="24"/>
          </w:rPr>
          <m:t xml:space="preserve"> </m:t>
        </m:r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I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к</m:t>
            </m:r>
          </m:sub>
        </m:sSub>
        <m:r>
          <w:rPr>
            <w:rFonts w:ascii="Cambria Math" w:hAnsi="Cambria Math"/>
            <w:sz w:val="24"/>
            <w:szCs w:val="24"/>
          </w:rPr>
          <m:t xml:space="preserve"> </m:t>
        </m:r>
      </m:oMath>
      <w:r w:rsidR="007D7702">
        <w:rPr>
          <w:rFonts w:ascii="Cambria Math" w:hAnsi="Cambria Math" w:cs="Cambria Math"/>
          <w:color w:val="040C28"/>
          <w:sz w:val="30"/>
          <w:szCs w:val="30"/>
        </w:rPr>
        <w:t>∈</w:t>
      </w:r>
      <w:r w:rsidR="007D7702" w:rsidRPr="007D7702">
        <w:rPr>
          <w:rFonts w:ascii="Times New Roman" w:hAnsi="Times New Roman"/>
          <w:sz w:val="24"/>
          <w:szCs w:val="24"/>
        </w:rPr>
        <w:t xml:space="preserve"> </w:t>
      </w:r>
      <w:r w:rsidR="007D7702">
        <w:rPr>
          <w:rFonts w:ascii="Times New Roman" w:hAnsi="Times New Roman"/>
          <w:sz w:val="24"/>
          <w:szCs w:val="24"/>
        </w:rPr>
        <w:t>(0,5; 1</w:t>
      </w:r>
      <w:r w:rsidR="007D7702" w:rsidRPr="007D7702">
        <w:rPr>
          <w:rFonts w:ascii="Times New Roman" w:hAnsi="Times New Roman"/>
          <w:sz w:val="24"/>
          <w:szCs w:val="24"/>
        </w:rPr>
        <w:t>]</w:t>
      </w:r>
      <w:r w:rsidR="007D7702">
        <w:rPr>
          <w:rFonts w:ascii="Times New Roman" w:hAnsi="Times New Roman"/>
          <w:sz w:val="24"/>
          <w:szCs w:val="24"/>
        </w:rPr>
        <w:t xml:space="preserve"> — результат значим, взаимосвязь существует).</w:t>
      </w:r>
    </w:p>
    <w:p w14:paraId="4E046D94" w14:textId="3AC4B34B" w:rsidR="007D7702" w:rsidRPr="00E5301D" w:rsidRDefault="00E5301D" w:rsidP="00E5301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</w:rPr>
        <w:t xml:space="preserve">Таблица 2 — Обзор ключевых показателей развития элементов финансовой системы России за период 2014–2022 гг. (составлено автором по данным Росстата </w:t>
      </w:r>
      <w:r>
        <w:rPr>
          <w:rFonts w:ascii="Times New Roman" w:hAnsi="Times New Roman"/>
          <w:sz w:val="24"/>
          <w:szCs w:val="24"/>
          <w:lang w:val="en-US"/>
        </w:rPr>
        <w:t>[13])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924"/>
        <w:gridCol w:w="746"/>
        <w:gridCol w:w="745"/>
        <w:gridCol w:w="745"/>
        <w:gridCol w:w="745"/>
        <w:gridCol w:w="745"/>
        <w:gridCol w:w="745"/>
        <w:gridCol w:w="745"/>
        <w:gridCol w:w="745"/>
        <w:gridCol w:w="743"/>
      </w:tblGrid>
      <w:tr w:rsidR="00466F74" w:rsidRPr="00E5301D" w14:paraId="0AEAA54C" w14:textId="77777777" w:rsidTr="00466F74">
        <w:trPr>
          <w:trHeight w:val="20"/>
        </w:trPr>
        <w:tc>
          <w:tcPr>
            <w:tcW w:w="1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70C440" w14:textId="1719D343" w:rsidR="00466F74" w:rsidRPr="00E5301D" w:rsidRDefault="00466F74" w:rsidP="000D0EB1">
            <w:pPr>
              <w:spacing w:after="0" w:line="192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E5301D">
              <w:rPr>
                <w:rFonts w:ascii="Times New Roman" w:eastAsia="Times New Roman" w:hAnsi="Times New Roman"/>
                <w:b/>
                <w:bCs/>
                <w:color w:val="000000"/>
              </w:rPr>
              <w:t>Показатели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25A46A" w14:textId="77777777" w:rsidR="00466F74" w:rsidRPr="00E5301D" w:rsidRDefault="00466F74" w:rsidP="000D0EB1">
            <w:pPr>
              <w:spacing w:after="0" w:line="192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E5301D">
              <w:rPr>
                <w:rFonts w:ascii="Times New Roman" w:eastAsia="Times New Roman" w:hAnsi="Times New Roman"/>
                <w:b/>
                <w:bCs/>
                <w:color w:val="000000"/>
              </w:rPr>
              <w:t>2014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215631" w14:textId="77777777" w:rsidR="00466F74" w:rsidRPr="00E5301D" w:rsidRDefault="00466F74" w:rsidP="000D0EB1">
            <w:pPr>
              <w:spacing w:after="0" w:line="192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E5301D">
              <w:rPr>
                <w:rFonts w:ascii="Times New Roman" w:eastAsia="Times New Roman" w:hAnsi="Times New Roman"/>
                <w:b/>
                <w:bCs/>
                <w:color w:val="000000"/>
              </w:rPr>
              <w:t>2015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F46DFF" w14:textId="77777777" w:rsidR="00466F74" w:rsidRPr="00E5301D" w:rsidRDefault="00466F74" w:rsidP="000D0EB1">
            <w:pPr>
              <w:spacing w:after="0" w:line="192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E5301D">
              <w:rPr>
                <w:rFonts w:ascii="Times New Roman" w:eastAsia="Times New Roman" w:hAnsi="Times New Roman"/>
                <w:b/>
                <w:bCs/>
                <w:color w:val="000000"/>
              </w:rPr>
              <w:t>2016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2C7B18" w14:textId="77777777" w:rsidR="00466F74" w:rsidRPr="00E5301D" w:rsidRDefault="00466F74" w:rsidP="000D0EB1">
            <w:pPr>
              <w:spacing w:after="0" w:line="192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E5301D">
              <w:rPr>
                <w:rFonts w:ascii="Times New Roman" w:eastAsia="Times New Roman" w:hAnsi="Times New Roman"/>
                <w:b/>
                <w:bCs/>
                <w:color w:val="000000"/>
              </w:rPr>
              <w:t>2017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7B2F0B" w14:textId="77777777" w:rsidR="00466F74" w:rsidRPr="00E5301D" w:rsidRDefault="00466F74" w:rsidP="000D0EB1">
            <w:pPr>
              <w:spacing w:after="0" w:line="192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E5301D">
              <w:rPr>
                <w:rFonts w:ascii="Times New Roman" w:eastAsia="Times New Roman" w:hAnsi="Times New Roman"/>
                <w:b/>
                <w:bCs/>
                <w:color w:val="000000"/>
              </w:rPr>
              <w:t>2018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C8A558" w14:textId="77777777" w:rsidR="00466F74" w:rsidRPr="00E5301D" w:rsidRDefault="00466F74" w:rsidP="000D0EB1">
            <w:pPr>
              <w:spacing w:after="0" w:line="192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E5301D">
              <w:rPr>
                <w:rFonts w:ascii="Times New Roman" w:eastAsia="Times New Roman" w:hAnsi="Times New Roman"/>
                <w:b/>
                <w:bCs/>
                <w:color w:val="000000"/>
              </w:rPr>
              <w:t>2019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7BED79" w14:textId="77777777" w:rsidR="00466F74" w:rsidRPr="00E5301D" w:rsidRDefault="00466F74" w:rsidP="000D0EB1">
            <w:pPr>
              <w:spacing w:after="0" w:line="192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E5301D">
              <w:rPr>
                <w:rFonts w:ascii="Times New Roman" w:eastAsia="Times New Roman" w:hAnsi="Times New Roman"/>
                <w:b/>
                <w:bCs/>
                <w:color w:val="000000"/>
              </w:rPr>
              <w:t>2020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51FFE4" w14:textId="77777777" w:rsidR="00466F74" w:rsidRPr="00E5301D" w:rsidRDefault="00466F74" w:rsidP="000D0EB1">
            <w:pPr>
              <w:spacing w:after="0" w:line="192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E5301D">
              <w:rPr>
                <w:rFonts w:ascii="Times New Roman" w:eastAsia="Times New Roman" w:hAnsi="Times New Roman"/>
                <w:b/>
                <w:bCs/>
                <w:color w:val="000000"/>
              </w:rPr>
              <w:t>2021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D2ABDD" w14:textId="77777777" w:rsidR="00466F74" w:rsidRPr="00E5301D" w:rsidRDefault="00466F74" w:rsidP="000D0EB1">
            <w:pPr>
              <w:spacing w:after="0" w:line="192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E5301D">
              <w:rPr>
                <w:rFonts w:ascii="Times New Roman" w:eastAsia="Times New Roman" w:hAnsi="Times New Roman"/>
                <w:b/>
                <w:bCs/>
                <w:color w:val="000000"/>
              </w:rPr>
              <w:t>2022</w:t>
            </w:r>
          </w:p>
        </w:tc>
      </w:tr>
      <w:tr w:rsidR="00466F74" w:rsidRPr="00E5301D" w14:paraId="6FE38733" w14:textId="77777777" w:rsidTr="00466F74">
        <w:trPr>
          <w:trHeight w:val="20"/>
        </w:trPr>
        <w:tc>
          <w:tcPr>
            <w:tcW w:w="5000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D41AF7" w14:textId="74C6A95E" w:rsidR="00466F74" w:rsidRPr="00E5301D" w:rsidRDefault="00466F74" w:rsidP="000D0EB1">
            <w:pPr>
              <w:spacing w:after="0" w:line="192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E5301D">
              <w:rPr>
                <w:rFonts w:ascii="Times New Roman" w:eastAsia="Times New Roman" w:hAnsi="Times New Roman"/>
                <w:b/>
                <w:bCs/>
                <w:color w:val="000000"/>
              </w:rPr>
              <w:t>Общественные финансы</w:t>
            </w:r>
          </w:p>
        </w:tc>
      </w:tr>
      <w:tr w:rsidR="00466F74" w:rsidRPr="00E5301D" w14:paraId="64B1C2E1" w14:textId="77777777" w:rsidTr="00466F74">
        <w:trPr>
          <w:trHeight w:val="20"/>
        </w:trPr>
        <w:tc>
          <w:tcPr>
            <w:tcW w:w="1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C6A385" w14:textId="6BF1F20F" w:rsidR="00466F74" w:rsidRPr="00E5301D" w:rsidRDefault="00466F74" w:rsidP="000D0EB1">
            <w:pPr>
              <w:spacing w:after="0" w:line="192" w:lineRule="auto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Доходы федерального бюджета, % к ВВП</w:t>
            </w:r>
          </w:p>
        </w:tc>
        <w:tc>
          <w:tcPr>
            <w:tcW w:w="38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7BDFB0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18,3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412985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16,4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E2B134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15,7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B4E238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16,4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575F60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18,7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F2C855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18,4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FC3248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17,4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21BFFD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18,7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EF97F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18,1</w:t>
            </w:r>
          </w:p>
        </w:tc>
      </w:tr>
      <w:tr w:rsidR="00466F74" w:rsidRPr="00E5301D" w14:paraId="7455D33E" w14:textId="77777777" w:rsidTr="00466F74">
        <w:trPr>
          <w:trHeight w:val="20"/>
        </w:trPr>
        <w:tc>
          <w:tcPr>
            <w:tcW w:w="1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8E0E94" w14:textId="2009F03F" w:rsidR="00466F74" w:rsidRPr="00E5301D" w:rsidRDefault="00466F74" w:rsidP="000D0EB1">
            <w:pPr>
              <w:spacing w:after="0" w:line="192" w:lineRule="auto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Расходы федерального бюджета, % к ВВП</w:t>
            </w:r>
          </w:p>
        </w:tc>
        <w:tc>
          <w:tcPr>
            <w:tcW w:w="38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D1F943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18,8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5473B5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18,8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E79DAE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19,2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98D529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17,9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363B2C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16,1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88C015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16,6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3DA8D6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21,2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831752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18,3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28F1D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20,3</w:t>
            </w:r>
          </w:p>
        </w:tc>
      </w:tr>
      <w:tr w:rsidR="00466F74" w:rsidRPr="00E5301D" w14:paraId="3A4F019A" w14:textId="77777777" w:rsidTr="00466F74">
        <w:trPr>
          <w:trHeight w:val="20"/>
        </w:trPr>
        <w:tc>
          <w:tcPr>
            <w:tcW w:w="1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95DC99" w14:textId="4910EA3E" w:rsidR="00466F74" w:rsidRPr="00E5301D" w:rsidRDefault="00466F74" w:rsidP="000D0EB1">
            <w:pPr>
              <w:spacing w:after="0" w:line="192" w:lineRule="auto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Доля нефтегазовых доходов в доходах федерального бюджета, %</w:t>
            </w:r>
          </w:p>
        </w:tc>
        <w:tc>
          <w:tcPr>
            <w:tcW w:w="38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3CA2C9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51,3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3DE49E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42,9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7854F2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36,0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5F8FB2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39,6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1879F4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46,4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0B5AC3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39,3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A5AB81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28,0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B14456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35,8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7743A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41,6</w:t>
            </w:r>
          </w:p>
        </w:tc>
      </w:tr>
      <w:tr w:rsidR="00466F74" w:rsidRPr="00E5301D" w14:paraId="40D7C8B6" w14:textId="77777777" w:rsidTr="00466F74">
        <w:trPr>
          <w:trHeight w:val="20"/>
        </w:trPr>
        <w:tc>
          <w:tcPr>
            <w:tcW w:w="1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FD4937" w14:textId="2C50F1EA" w:rsidR="00466F74" w:rsidRPr="00E5301D" w:rsidRDefault="00466F74" w:rsidP="000D0EB1">
            <w:pPr>
              <w:spacing w:after="0" w:line="192" w:lineRule="auto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Доходы консолидированных бюджетов субъектов РФ, % к ВВП</w:t>
            </w:r>
          </w:p>
        </w:tc>
        <w:tc>
          <w:tcPr>
            <w:tcW w:w="38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EE7569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11,3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1AF9FD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11,2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F52545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11,6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A3910C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11,7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00500C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11,9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0BE2A1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12,4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022782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13,8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B28B14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13,0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E6AD7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12,8</w:t>
            </w:r>
          </w:p>
        </w:tc>
      </w:tr>
      <w:tr w:rsidR="00466F74" w:rsidRPr="00E5301D" w14:paraId="131A941E" w14:textId="77777777" w:rsidTr="00466F74">
        <w:trPr>
          <w:trHeight w:val="20"/>
        </w:trPr>
        <w:tc>
          <w:tcPr>
            <w:tcW w:w="1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3BBC32" w14:textId="74F6AF90" w:rsidR="00466F74" w:rsidRPr="00E5301D" w:rsidRDefault="00466F74" w:rsidP="000D0EB1">
            <w:pPr>
              <w:spacing w:after="0" w:line="192" w:lineRule="auto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Расходы консолидированных бюджетов субъектов РФ, % к ВВП</w:t>
            </w:r>
          </w:p>
        </w:tc>
        <w:tc>
          <w:tcPr>
            <w:tcW w:w="38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AF9EFB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11,8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72F4B2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11,4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2257FD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11,6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963A2F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11,8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42FC89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11,4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DED6FB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12,4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EA3268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14,5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9C7462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12,5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99AB6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12,8</w:t>
            </w:r>
          </w:p>
        </w:tc>
      </w:tr>
      <w:tr w:rsidR="00466F74" w:rsidRPr="00E5301D" w14:paraId="7AD52CFA" w14:textId="77777777" w:rsidTr="00466F74">
        <w:trPr>
          <w:trHeight w:val="20"/>
        </w:trPr>
        <w:tc>
          <w:tcPr>
            <w:tcW w:w="1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B10CB3" w14:textId="1AF5CDE2" w:rsidR="00466F74" w:rsidRPr="00E5301D" w:rsidRDefault="00466F74" w:rsidP="000D0EB1">
            <w:pPr>
              <w:spacing w:after="0" w:line="192" w:lineRule="auto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Доля безвозмездных поступлений в доходах консолидированных бюджетов субъектов РФ, %</w:t>
            </w:r>
          </w:p>
        </w:tc>
        <w:tc>
          <w:tcPr>
            <w:tcW w:w="38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412C03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18,8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4221AB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17,4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1267E6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15,9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28C709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15,8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686E13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16,8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53A586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18,1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01B842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25,3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0686C1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21,0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C8CFB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19,9</w:t>
            </w:r>
          </w:p>
        </w:tc>
      </w:tr>
      <w:tr w:rsidR="00466F74" w:rsidRPr="00E5301D" w14:paraId="78B32CAC" w14:textId="77777777" w:rsidTr="00466F74">
        <w:trPr>
          <w:trHeight w:val="20"/>
        </w:trPr>
        <w:tc>
          <w:tcPr>
            <w:tcW w:w="5000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2B7259" w14:textId="7C63307E" w:rsidR="00466F74" w:rsidRPr="00E5301D" w:rsidRDefault="00466F74" w:rsidP="000D0EB1">
            <w:pPr>
              <w:spacing w:after="0" w:line="192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E5301D">
              <w:rPr>
                <w:rFonts w:ascii="Times New Roman" w:eastAsia="Times New Roman" w:hAnsi="Times New Roman"/>
                <w:b/>
                <w:bCs/>
                <w:color w:val="000000"/>
              </w:rPr>
              <w:t>Финансы нефинансовых организаций</w:t>
            </w:r>
          </w:p>
        </w:tc>
      </w:tr>
      <w:tr w:rsidR="00466F74" w:rsidRPr="00E5301D" w14:paraId="7A2E93FF" w14:textId="77777777" w:rsidTr="00466F74">
        <w:trPr>
          <w:trHeight w:val="20"/>
        </w:trPr>
        <w:tc>
          <w:tcPr>
            <w:tcW w:w="1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C5AEAF" w14:textId="65021B0D" w:rsidR="00466F74" w:rsidRPr="00E5301D" w:rsidRDefault="00466F74" w:rsidP="000D0EB1">
            <w:pPr>
              <w:spacing w:after="0" w:line="192" w:lineRule="auto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Сальдированный финансовый результат, % к ВВП</w:t>
            </w:r>
          </w:p>
        </w:tc>
        <w:tc>
          <w:tcPr>
            <w:tcW w:w="38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CB2E24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5,5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B5E842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9,0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9BE2E6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15,0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5C70DD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9,8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62A9EC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11,9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1DA232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15,2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E41B87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12,5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00C8D5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25,1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57575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14,5</w:t>
            </w:r>
          </w:p>
        </w:tc>
      </w:tr>
      <w:tr w:rsidR="00466F74" w:rsidRPr="00E5301D" w14:paraId="4C6B8A02" w14:textId="77777777" w:rsidTr="00466F74">
        <w:trPr>
          <w:trHeight w:val="20"/>
        </w:trPr>
        <w:tc>
          <w:tcPr>
            <w:tcW w:w="1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F08C01" w14:textId="26DEACC4" w:rsidR="00466F74" w:rsidRPr="00E5301D" w:rsidRDefault="00466F74" w:rsidP="000D0EB1">
            <w:pPr>
              <w:spacing w:after="0" w:line="192" w:lineRule="auto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Доля убыточных организаций в их общем числе, %</w:t>
            </w:r>
          </w:p>
        </w:tc>
        <w:tc>
          <w:tcPr>
            <w:tcW w:w="38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37F1A3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33,0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3DA394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32,6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B9226E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29,5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6AC29B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31,9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B89CAF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33,1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5FC077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32,5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67555F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32,7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42E392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29,2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14284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29,3</w:t>
            </w:r>
          </w:p>
        </w:tc>
      </w:tr>
      <w:tr w:rsidR="00466F74" w:rsidRPr="00E5301D" w14:paraId="765EE2E4" w14:textId="77777777" w:rsidTr="00466F74">
        <w:trPr>
          <w:trHeight w:val="20"/>
        </w:trPr>
        <w:tc>
          <w:tcPr>
            <w:tcW w:w="1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9A524E" w14:textId="79423478" w:rsidR="00466F74" w:rsidRPr="00E5301D" w:rsidRDefault="00466F74" w:rsidP="000D0EB1">
            <w:pPr>
              <w:spacing w:after="0" w:line="192" w:lineRule="auto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Рентабельность активов, %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546389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2,5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7B5982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3,7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25A8CB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5,9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C9420D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3,8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F79914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4,7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B8827D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5,8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72B04F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4,1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E27155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8,9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22B148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5,5</w:t>
            </w:r>
          </w:p>
        </w:tc>
      </w:tr>
      <w:tr w:rsidR="00466F74" w:rsidRPr="00E5301D" w14:paraId="79D4AF30" w14:textId="77777777" w:rsidTr="00466F74">
        <w:trPr>
          <w:trHeight w:val="20"/>
        </w:trPr>
        <w:tc>
          <w:tcPr>
            <w:tcW w:w="1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3345C8" w14:textId="7089015E" w:rsidR="00466F74" w:rsidRPr="00E5301D" w:rsidRDefault="00466F74" w:rsidP="000D0EB1">
            <w:pPr>
              <w:spacing w:after="0" w:line="192" w:lineRule="auto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Рентабельность проданных товаров, %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08D45D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7,3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C7AAEF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8,1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F560AD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7,6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8A9C20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6,7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9431D8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10,7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490A7A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10,8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23D072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9,1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00956E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14,7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18C15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14,2</w:t>
            </w:r>
          </w:p>
        </w:tc>
      </w:tr>
      <w:tr w:rsidR="00466F74" w:rsidRPr="00E5301D" w14:paraId="3697A5BF" w14:textId="77777777" w:rsidTr="00466F74">
        <w:trPr>
          <w:trHeight w:val="20"/>
        </w:trPr>
        <w:tc>
          <w:tcPr>
            <w:tcW w:w="1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51B3DA" w14:textId="37FD2708" w:rsidR="00466F74" w:rsidRPr="00E5301D" w:rsidRDefault="00466F74" w:rsidP="000D0EB1">
            <w:pPr>
              <w:spacing w:after="0" w:line="192" w:lineRule="auto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Коэффициент автономии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6DB64C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40,1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F73E15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39,9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154F25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42,5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8A1C07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41,7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620D5C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40,6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A773F0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41,4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179F38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40,7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4409E1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42,7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BAABE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51,5</w:t>
            </w:r>
          </w:p>
        </w:tc>
      </w:tr>
      <w:tr w:rsidR="00466F74" w:rsidRPr="00E5301D" w14:paraId="740F9A3F" w14:textId="77777777" w:rsidTr="00466F74">
        <w:trPr>
          <w:trHeight w:val="20"/>
        </w:trPr>
        <w:tc>
          <w:tcPr>
            <w:tcW w:w="5000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BE580E" w14:textId="78559AAB" w:rsidR="00466F74" w:rsidRPr="00E5301D" w:rsidRDefault="00466F74" w:rsidP="000D0EB1">
            <w:pPr>
              <w:spacing w:after="0" w:line="192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E5301D">
              <w:rPr>
                <w:rFonts w:ascii="Times New Roman" w:eastAsia="Times New Roman" w:hAnsi="Times New Roman"/>
                <w:b/>
                <w:bCs/>
                <w:color w:val="000000"/>
              </w:rPr>
              <w:lastRenderedPageBreak/>
              <w:t>Финансы финансовых посредников</w:t>
            </w:r>
          </w:p>
        </w:tc>
      </w:tr>
      <w:tr w:rsidR="00466F74" w:rsidRPr="00E5301D" w14:paraId="12367979" w14:textId="77777777" w:rsidTr="00466F74">
        <w:trPr>
          <w:trHeight w:val="20"/>
        </w:trPr>
        <w:tc>
          <w:tcPr>
            <w:tcW w:w="1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D571A" w14:textId="4884236B" w:rsidR="00466F74" w:rsidRPr="00E5301D" w:rsidRDefault="00466F74" w:rsidP="000D0EB1">
            <w:pPr>
              <w:spacing w:after="0" w:line="192" w:lineRule="auto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Капитал банков, % к ВВП</w:t>
            </w:r>
          </w:p>
        </w:tc>
        <w:tc>
          <w:tcPr>
            <w:tcW w:w="38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234FCB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10,0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B9064B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10,8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336C7F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11,0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D62AB8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10,2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317B81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9,9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5BF993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10,0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826408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10,6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444267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9,3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42570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8,7</w:t>
            </w:r>
          </w:p>
        </w:tc>
      </w:tr>
      <w:tr w:rsidR="00466F74" w:rsidRPr="00E5301D" w14:paraId="72876702" w14:textId="77777777" w:rsidTr="00466F74">
        <w:trPr>
          <w:trHeight w:val="20"/>
        </w:trPr>
        <w:tc>
          <w:tcPr>
            <w:tcW w:w="1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DED2F9" w14:textId="58D14C66" w:rsidR="00466F74" w:rsidRPr="00E5301D" w:rsidRDefault="00466F74" w:rsidP="000D0EB1">
            <w:pPr>
              <w:spacing w:after="0" w:line="192" w:lineRule="auto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Активы банков, % к ВВП</w:t>
            </w:r>
          </w:p>
        </w:tc>
        <w:tc>
          <w:tcPr>
            <w:tcW w:w="38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508740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93,1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619891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93,2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269EE1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86,5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AA2463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84,9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42AD2E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83,0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FA6E90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81,0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7074A3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96,5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377864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88,9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272D0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87,7</w:t>
            </w:r>
          </w:p>
        </w:tc>
      </w:tr>
      <w:tr w:rsidR="00466F74" w:rsidRPr="00E5301D" w14:paraId="1E52CD3C" w14:textId="77777777" w:rsidTr="00466F74">
        <w:trPr>
          <w:trHeight w:val="20"/>
        </w:trPr>
        <w:tc>
          <w:tcPr>
            <w:tcW w:w="1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7B5AE" w14:textId="1AB85CC4" w:rsidR="00466F74" w:rsidRPr="00E5301D" w:rsidRDefault="00466F74" w:rsidP="000D0EB1">
            <w:pPr>
              <w:spacing w:after="0" w:line="192" w:lineRule="auto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Капитализация рынка акций ММВБ по итогам торгов на конец IV кв. соотв. года, % к ВВП</w:t>
            </w:r>
          </w:p>
        </w:tc>
        <w:tc>
          <w:tcPr>
            <w:tcW w:w="38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51BB17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28,9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8323E4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34,6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04C70F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44,1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554D36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39,1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7FE464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38,2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6986A7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44,4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5F8299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47,8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21D776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46,3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3A655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24,9</w:t>
            </w:r>
          </w:p>
        </w:tc>
      </w:tr>
      <w:tr w:rsidR="00466F74" w:rsidRPr="00E5301D" w14:paraId="399111AB" w14:textId="77777777" w:rsidTr="00466F74">
        <w:trPr>
          <w:trHeight w:val="20"/>
        </w:trPr>
        <w:tc>
          <w:tcPr>
            <w:tcW w:w="1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983A61" w14:textId="74D89315" w:rsidR="00466F74" w:rsidRPr="00E5301D" w:rsidRDefault="00466F74" w:rsidP="000D0EB1">
            <w:pPr>
              <w:spacing w:after="0" w:line="192" w:lineRule="auto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Объем рынка корпоративных долговых ценных бумаг, % к ВВП</w:t>
            </w:r>
          </w:p>
        </w:tc>
        <w:tc>
          <w:tcPr>
            <w:tcW w:w="38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04954D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8,4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E05A54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9,7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F61A90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10,7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65DC2F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bookmarkStart w:id="0" w:name="RANGE!J40"/>
            <w:r w:rsidRPr="00E5301D">
              <w:rPr>
                <w:rFonts w:ascii="Times New Roman" w:eastAsia="Times New Roman" w:hAnsi="Times New Roman"/>
                <w:color w:val="000000"/>
              </w:rPr>
              <w:t>12,4</w:t>
            </w:r>
            <w:bookmarkEnd w:id="0"/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BCB0B2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11,5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D36A4A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12,4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A1799D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15,1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C368FB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13,0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F4311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12,9</w:t>
            </w:r>
          </w:p>
        </w:tc>
      </w:tr>
      <w:tr w:rsidR="00466F74" w:rsidRPr="00E5301D" w14:paraId="71B6F226" w14:textId="77777777" w:rsidTr="00466F74">
        <w:trPr>
          <w:trHeight w:val="20"/>
        </w:trPr>
        <w:tc>
          <w:tcPr>
            <w:tcW w:w="1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5F9A87" w14:textId="26624A62" w:rsidR="00466F74" w:rsidRPr="00E5301D" w:rsidRDefault="00466F74" w:rsidP="000D0EB1">
            <w:pPr>
              <w:spacing w:after="0" w:line="192" w:lineRule="auto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Страховые премии, % к ВВП</w:t>
            </w:r>
          </w:p>
        </w:tc>
        <w:tc>
          <w:tcPr>
            <w:tcW w:w="38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B7D282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1,240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13982C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1,240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C1ACBF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1,390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0CF048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1,400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6ACC46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1,430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2B9CA2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1,360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24A86D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1,440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5E3292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1,350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6BDC4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1,190</w:t>
            </w:r>
          </w:p>
        </w:tc>
      </w:tr>
      <w:tr w:rsidR="00466F74" w:rsidRPr="00E5301D" w14:paraId="784AD34C" w14:textId="77777777" w:rsidTr="00466F74">
        <w:trPr>
          <w:trHeight w:val="20"/>
        </w:trPr>
        <w:tc>
          <w:tcPr>
            <w:tcW w:w="5000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748AED" w14:textId="73D284C3" w:rsidR="00466F74" w:rsidRPr="00E5301D" w:rsidRDefault="00466F74" w:rsidP="000D0EB1">
            <w:pPr>
              <w:spacing w:after="0" w:line="192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 w:rsidRPr="00E5301D">
              <w:rPr>
                <w:rFonts w:ascii="Times New Roman" w:eastAsia="Times New Roman" w:hAnsi="Times New Roman"/>
                <w:b/>
                <w:bCs/>
                <w:color w:val="000000"/>
              </w:rPr>
              <w:t>Финансы домашних хозяйств</w:t>
            </w:r>
          </w:p>
        </w:tc>
      </w:tr>
      <w:tr w:rsidR="00466F74" w:rsidRPr="00E5301D" w14:paraId="06356023" w14:textId="77777777" w:rsidTr="00466F74">
        <w:trPr>
          <w:trHeight w:val="20"/>
        </w:trPr>
        <w:tc>
          <w:tcPr>
            <w:tcW w:w="1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98FA66" w14:textId="169E650D" w:rsidR="00466F74" w:rsidRPr="00E5301D" w:rsidRDefault="00466F74" w:rsidP="000D0EB1">
            <w:pPr>
              <w:spacing w:after="0" w:line="192" w:lineRule="auto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Денежные доходы населения, % к ВВП</w:t>
            </w:r>
          </w:p>
        </w:tc>
        <w:tc>
          <w:tcPr>
            <w:tcW w:w="38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CB1B8F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59,9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ED0423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64,0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C45542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63,5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0794B4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61,2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E07B0F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56,6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DDB4BB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57,1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6B5FF2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59,2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4CA3FA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52,1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3B783A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51,5</w:t>
            </w:r>
          </w:p>
        </w:tc>
      </w:tr>
      <w:tr w:rsidR="00466F74" w:rsidRPr="00E5301D" w14:paraId="58314A0F" w14:textId="77777777" w:rsidTr="00466F74">
        <w:trPr>
          <w:trHeight w:val="20"/>
        </w:trPr>
        <w:tc>
          <w:tcPr>
            <w:tcW w:w="1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B5C0A8" w14:textId="2D4BEAEC" w:rsidR="00466F74" w:rsidRPr="00E5301D" w:rsidRDefault="00466F74" w:rsidP="000D0EB1">
            <w:pPr>
              <w:spacing w:after="0" w:line="192" w:lineRule="auto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Реальные располагаемые доходы населения, % к предыдущему году</w:t>
            </w:r>
          </w:p>
        </w:tc>
        <w:tc>
          <w:tcPr>
            <w:tcW w:w="38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ACD1BB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98,8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F6F7EF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97,6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924F2F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95,5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F4A33B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99,5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26CA27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100,7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260B17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101,2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8451CA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98,0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428375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103,2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9E782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104,0</w:t>
            </w:r>
          </w:p>
        </w:tc>
      </w:tr>
      <w:tr w:rsidR="00466F74" w:rsidRPr="00E5301D" w14:paraId="365F201B" w14:textId="77777777" w:rsidTr="00466F74">
        <w:trPr>
          <w:trHeight w:val="20"/>
        </w:trPr>
        <w:tc>
          <w:tcPr>
            <w:tcW w:w="1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F30DB8" w14:textId="5187839D" w:rsidR="00466F74" w:rsidRPr="00E5301D" w:rsidRDefault="00466F74" w:rsidP="000D0EB1">
            <w:pPr>
              <w:spacing w:after="0" w:line="192" w:lineRule="auto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Расходы населения на конечное потребление, % к ВВП</w:t>
            </w:r>
          </w:p>
        </w:tc>
        <w:tc>
          <w:tcPr>
            <w:tcW w:w="38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6237BF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53,4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013D14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52,3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9105ED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52,8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9D30E3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52,5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693B80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50,0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1C5877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51,2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7ACB90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50,9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E0103A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48,6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B74C3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47,7</w:t>
            </w:r>
          </w:p>
        </w:tc>
      </w:tr>
      <w:tr w:rsidR="00466F74" w:rsidRPr="00E5301D" w14:paraId="33D9228D" w14:textId="77777777" w:rsidTr="00466F74">
        <w:trPr>
          <w:trHeight w:val="20"/>
        </w:trPr>
        <w:tc>
          <w:tcPr>
            <w:tcW w:w="1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5F8439" w14:textId="2C687F87" w:rsidR="00466F74" w:rsidRPr="00E5301D" w:rsidRDefault="00466F74" w:rsidP="000D0EB1">
            <w:pPr>
              <w:spacing w:after="0" w:line="192" w:lineRule="auto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Прирост сбережений населения, % к предыдущему году</w:t>
            </w:r>
          </w:p>
        </w:tc>
        <w:tc>
          <w:tcPr>
            <w:tcW w:w="38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60656F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0,3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202E5D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10,1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9F73DD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6,6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2CA319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4,6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79F0AA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1,7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1289E4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3,4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40CB76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4,6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CA73B1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3,4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510AA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4,7</w:t>
            </w:r>
          </w:p>
        </w:tc>
      </w:tr>
      <w:tr w:rsidR="00466F74" w:rsidRPr="00E5301D" w14:paraId="31FB75D5" w14:textId="77777777" w:rsidTr="00466F74">
        <w:trPr>
          <w:trHeight w:val="20"/>
        </w:trPr>
        <w:tc>
          <w:tcPr>
            <w:tcW w:w="1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0F3C44" w14:textId="21E302D5" w:rsidR="00466F74" w:rsidRPr="00E5301D" w:rsidRDefault="00466F74" w:rsidP="000D0EB1">
            <w:pPr>
              <w:spacing w:after="0" w:line="192" w:lineRule="auto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Децильный коэффициент фондов</w:t>
            </w:r>
          </w:p>
        </w:tc>
        <w:tc>
          <w:tcPr>
            <w:tcW w:w="38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87BA4B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15,8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02B4EC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15,5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E3AE3C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15,5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9FE7DF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15,4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8F3912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15,8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8D1FF7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15,6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0FF197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14,9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B403CD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15,2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29010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13,8</w:t>
            </w:r>
          </w:p>
        </w:tc>
      </w:tr>
      <w:tr w:rsidR="00466F74" w:rsidRPr="00E5301D" w14:paraId="5FEEC21D" w14:textId="77777777" w:rsidTr="00466F74">
        <w:trPr>
          <w:trHeight w:val="20"/>
        </w:trPr>
        <w:tc>
          <w:tcPr>
            <w:tcW w:w="1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E435AA" w14:textId="4B5F9D4D" w:rsidR="00466F74" w:rsidRPr="00E5301D" w:rsidRDefault="00466F74" w:rsidP="000D0EB1">
            <w:pPr>
              <w:spacing w:after="0" w:line="192" w:lineRule="auto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Коэффициент Джини</w:t>
            </w:r>
          </w:p>
        </w:tc>
        <w:tc>
          <w:tcPr>
            <w:tcW w:w="38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EB6C19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0,415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9ED928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0,412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FD9C0F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0,412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58E50F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0,411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5842B8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0,414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04779D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0,412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6DBC05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0,406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D2DA91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0,409</w:t>
            </w:r>
          </w:p>
        </w:tc>
        <w:tc>
          <w:tcPr>
            <w:tcW w:w="3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7C2D7" w14:textId="77777777" w:rsidR="00466F74" w:rsidRPr="00E5301D" w:rsidRDefault="00466F74" w:rsidP="00E5301D">
            <w:pPr>
              <w:spacing w:after="0" w:line="192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E5301D">
              <w:rPr>
                <w:rFonts w:ascii="Times New Roman" w:eastAsia="Times New Roman" w:hAnsi="Times New Roman"/>
                <w:color w:val="000000"/>
              </w:rPr>
              <w:t>0,396</w:t>
            </w:r>
          </w:p>
        </w:tc>
      </w:tr>
    </w:tbl>
    <w:p w14:paraId="6475F017" w14:textId="77777777" w:rsidR="000D0EB1" w:rsidRPr="00C27F5B" w:rsidRDefault="000D0EB1" w:rsidP="00F018A7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4D63AA63" w14:textId="65A26FC6" w:rsidR="007B740F" w:rsidRDefault="007B740F" w:rsidP="007B740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Согласно результатам проведенного р</w:t>
      </w:r>
      <w:r w:rsidR="00E5301D">
        <w:rPr>
          <w:rFonts w:ascii="Times New Roman" w:hAnsi="Times New Roman"/>
          <w:sz w:val="24"/>
          <w:szCs w:val="24"/>
        </w:rPr>
        <w:t>асчет</w:t>
      </w:r>
      <w:r>
        <w:rPr>
          <w:rFonts w:ascii="Times New Roman" w:hAnsi="Times New Roman"/>
          <w:sz w:val="24"/>
          <w:szCs w:val="24"/>
        </w:rPr>
        <w:t>а</w:t>
      </w:r>
      <w:r w:rsidR="00E5301D">
        <w:rPr>
          <w:rFonts w:ascii="Times New Roman" w:hAnsi="Times New Roman"/>
          <w:sz w:val="24"/>
          <w:szCs w:val="24"/>
        </w:rPr>
        <w:t xml:space="preserve"> показател</w:t>
      </w:r>
      <w:r w:rsidR="000D0EB1">
        <w:rPr>
          <w:rFonts w:ascii="Times New Roman" w:hAnsi="Times New Roman"/>
          <w:sz w:val="24"/>
          <w:szCs w:val="24"/>
        </w:rPr>
        <w:t>ей</w:t>
      </w:r>
      <w:r w:rsidR="00E5301D">
        <w:rPr>
          <w:rFonts w:ascii="Times New Roman" w:hAnsi="Times New Roman"/>
          <w:sz w:val="24"/>
          <w:szCs w:val="24"/>
        </w:rPr>
        <w:t xml:space="preserve"> устойчивости</w:t>
      </w:r>
      <w:r w:rsidR="000D0EB1">
        <w:rPr>
          <w:rFonts w:ascii="Times New Roman" w:hAnsi="Times New Roman"/>
          <w:sz w:val="24"/>
          <w:szCs w:val="24"/>
        </w:rPr>
        <w:t xml:space="preserve"> элементов финансовой системы России</w:t>
      </w:r>
      <w:r w:rsidR="00E5301D">
        <w:rPr>
          <w:rFonts w:ascii="Times New Roman" w:hAnsi="Times New Roman"/>
          <w:sz w:val="24"/>
          <w:szCs w:val="24"/>
        </w:rPr>
        <w:t xml:space="preserve"> — коэффициент</w:t>
      </w:r>
      <w:r w:rsidR="000D0EB1">
        <w:rPr>
          <w:rFonts w:ascii="Times New Roman" w:hAnsi="Times New Roman"/>
          <w:sz w:val="24"/>
          <w:szCs w:val="24"/>
        </w:rPr>
        <w:t>ов</w:t>
      </w:r>
      <w:r w:rsidR="00E5301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5301D">
        <w:rPr>
          <w:rFonts w:ascii="Times New Roman" w:hAnsi="Times New Roman"/>
          <w:sz w:val="24"/>
          <w:szCs w:val="24"/>
        </w:rPr>
        <w:t>Спирмена</w:t>
      </w:r>
      <w:proofErr w:type="spellEnd"/>
      <w:r w:rsidR="00E5301D">
        <w:rPr>
          <w:rFonts w:ascii="Times New Roman" w:hAnsi="Times New Roman"/>
          <w:sz w:val="24"/>
          <w:szCs w:val="24"/>
        </w:rPr>
        <w:t xml:space="preserve"> и индекс</w:t>
      </w:r>
      <w:r w:rsidR="000D0EB1">
        <w:rPr>
          <w:rFonts w:ascii="Times New Roman" w:hAnsi="Times New Roman"/>
          <w:sz w:val="24"/>
          <w:szCs w:val="24"/>
        </w:rPr>
        <w:t>ов</w:t>
      </w:r>
      <w:r w:rsidR="00E5301D">
        <w:rPr>
          <w:rFonts w:ascii="Times New Roman" w:hAnsi="Times New Roman"/>
          <w:sz w:val="24"/>
          <w:szCs w:val="24"/>
        </w:rPr>
        <w:t xml:space="preserve"> корреляции</w:t>
      </w:r>
      <w:r>
        <w:rPr>
          <w:rFonts w:ascii="Times New Roman" w:hAnsi="Times New Roman"/>
          <w:sz w:val="24"/>
          <w:szCs w:val="24"/>
        </w:rPr>
        <w:t>,</w:t>
      </w:r>
      <w:r w:rsidR="00C27F5B">
        <w:rPr>
          <w:rFonts w:ascii="Times New Roman" w:hAnsi="Times New Roman"/>
          <w:sz w:val="24"/>
          <w:szCs w:val="24"/>
        </w:rPr>
        <w:t xml:space="preserve"> —</w:t>
      </w:r>
      <w:r>
        <w:rPr>
          <w:rFonts w:ascii="Times New Roman" w:hAnsi="Times New Roman"/>
          <w:sz w:val="24"/>
          <w:szCs w:val="24"/>
        </w:rPr>
        <w:t xml:space="preserve"> наиболее уязвимыми элементами национальной финансовой системы с позиции устойчивости явились:</w:t>
      </w:r>
    </w:p>
    <w:p w14:paraId="2444A28D" w14:textId="024AE5AA" w:rsidR="00C27F5B" w:rsidRDefault="0072785D" w:rsidP="00C27F5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</w:t>
      </w:r>
      <w:r w:rsidR="007B740F">
        <w:rPr>
          <w:rFonts w:ascii="Times New Roman" w:hAnsi="Times New Roman"/>
          <w:sz w:val="24"/>
          <w:szCs w:val="24"/>
        </w:rPr>
        <w:t xml:space="preserve"> общественные финансы</w:t>
      </w:r>
      <w:r w:rsidR="00C27F5B">
        <w:rPr>
          <w:rFonts w:ascii="Times New Roman" w:hAnsi="Times New Roman"/>
          <w:sz w:val="24"/>
          <w:szCs w:val="24"/>
        </w:rPr>
        <w:t xml:space="preserve"> (рисунок 1)</w:t>
      </w:r>
      <w:r w:rsidR="007B740F">
        <w:rPr>
          <w:rFonts w:ascii="Times New Roman" w:hAnsi="Times New Roman"/>
          <w:sz w:val="24"/>
          <w:szCs w:val="24"/>
        </w:rPr>
        <w:t>, а именно федеральный бюджет в части динамики его доходов и расходов, % к ВВП</w:t>
      </w:r>
      <w:r w:rsidR="00E5301D">
        <w:rPr>
          <w:rFonts w:ascii="Times New Roman" w:hAnsi="Times New Roman"/>
          <w:sz w:val="24"/>
          <w:szCs w:val="24"/>
        </w:rPr>
        <w:t>.</w:t>
      </w:r>
      <w:r w:rsidR="007B740F">
        <w:rPr>
          <w:rFonts w:ascii="Times New Roman" w:hAnsi="Times New Roman"/>
          <w:sz w:val="24"/>
          <w:szCs w:val="24"/>
        </w:rPr>
        <w:t xml:space="preserve"> Данное обстоятельство может быть обусловлено высокой долей нефтегазовых доходов в структуре доходов бюджета (от 28 % до 51,3 %) и волатильностью конъюнктуры мирового рынка энергоресурсов. При этом стоит отметить, что возрастание доли </w:t>
      </w:r>
      <w:proofErr w:type="spellStart"/>
      <w:r w:rsidR="007B740F">
        <w:rPr>
          <w:rFonts w:ascii="Times New Roman" w:hAnsi="Times New Roman"/>
          <w:sz w:val="24"/>
          <w:szCs w:val="24"/>
        </w:rPr>
        <w:t>ненефтегазовых</w:t>
      </w:r>
      <w:proofErr w:type="spellEnd"/>
      <w:r w:rsidR="007B740F">
        <w:rPr>
          <w:rFonts w:ascii="Times New Roman" w:hAnsi="Times New Roman"/>
          <w:sz w:val="24"/>
          <w:szCs w:val="24"/>
        </w:rPr>
        <w:t xml:space="preserve"> доходов бюджета также сопровождается рисками нестабильности, поскольку разработанные инструменты «сглаживания» колебаний цен на энергоресурсы </w:t>
      </w:r>
      <w:r w:rsidR="00AF0422">
        <w:rPr>
          <w:rFonts w:ascii="Times New Roman" w:hAnsi="Times New Roman"/>
          <w:sz w:val="24"/>
          <w:szCs w:val="24"/>
        </w:rPr>
        <w:t>(например, бюджетное правило) все в меньшей мере оказывают влияние на стабилизацию экономики, а повышение устойчивости и предсказуемости внутренних источников доходов требует разработки новых механизмов;</w:t>
      </w:r>
    </w:p>
    <w:p w14:paraId="02B9B46C" w14:textId="6DA2FBCE" w:rsidR="00C27F5B" w:rsidRDefault="00C27F5B" w:rsidP="00C27F5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inline distT="0" distB="0" distL="0" distR="0" wp14:anchorId="20A2F936" wp14:editId="594190A8">
            <wp:extent cx="6120130" cy="2419350"/>
            <wp:effectExtent l="0" t="0" r="0" b="0"/>
            <wp:docPr id="1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4F6ED506-32E6-40B1-A3AC-C8A5F4BDFA4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54A39DF0" w14:textId="264A0E48" w:rsidR="00C27F5B" w:rsidRDefault="00C27F5B" w:rsidP="00C27F5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Рисунок 1 — </w:t>
      </w:r>
      <w:r w:rsidRPr="00C27F5B">
        <w:rPr>
          <w:rFonts w:ascii="Times New Roman" w:hAnsi="Times New Roman"/>
          <w:sz w:val="24"/>
          <w:szCs w:val="24"/>
        </w:rPr>
        <w:t xml:space="preserve">Оценка устойчивости общественных финансов РФ </w:t>
      </w:r>
      <w:r>
        <w:rPr>
          <w:rFonts w:ascii="Times New Roman" w:hAnsi="Times New Roman"/>
          <w:sz w:val="24"/>
          <w:szCs w:val="24"/>
        </w:rPr>
        <w:t>(</w:t>
      </w:r>
      <w:r w:rsidR="00A02085">
        <w:rPr>
          <w:rFonts w:ascii="Times New Roman" w:hAnsi="Times New Roman"/>
          <w:sz w:val="24"/>
          <w:szCs w:val="24"/>
        </w:rPr>
        <w:t>рассчитано</w:t>
      </w:r>
      <w:r>
        <w:rPr>
          <w:rFonts w:ascii="Times New Roman" w:hAnsi="Times New Roman"/>
          <w:sz w:val="24"/>
          <w:szCs w:val="24"/>
        </w:rPr>
        <w:t xml:space="preserve"> автором)</w:t>
      </w:r>
    </w:p>
    <w:p w14:paraId="315147A3" w14:textId="77777777" w:rsidR="00C27F5B" w:rsidRPr="00C27F5B" w:rsidRDefault="00C27F5B" w:rsidP="00C27F5B">
      <w:pPr>
        <w:spacing w:after="0" w:line="240" w:lineRule="auto"/>
        <w:jc w:val="center"/>
        <w:rPr>
          <w:rFonts w:ascii="Times New Roman" w:hAnsi="Times New Roman"/>
        </w:rPr>
      </w:pPr>
    </w:p>
    <w:p w14:paraId="77C9BD3A" w14:textId="6FA170F3" w:rsidR="00C27F5B" w:rsidRDefault="00AF0422" w:rsidP="00C27F5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финансы нефинансовых организаций</w:t>
      </w:r>
      <w:r w:rsidR="00A02085">
        <w:rPr>
          <w:rFonts w:ascii="Times New Roman" w:hAnsi="Times New Roman"/>
          <w:sz w:val="24"/>
          <w:szCs w:val="24"/>
        </w:rPr>
        <w:t xml:space="preserve"> (рисунок 2)</w:t>
      </w:r>
      <w:r>
        <w:rPr>
          <w:rFonts w:ascii="Times New Roman" w:hAnsi="Times New Roman"/>
          <w:sz w:val="24"/>
          <w:szCs w:val="24"/>
        </w:rPr>
        <w:t xml:space="preserve"> в части доли убыточных организаций в их общем числе, %, хаотичность трендов которой хоть и формирует общие </w:t>
      </w:r>
      <w:r>
        <w:rPr>
          <w:rFonts w:ascii="Times New Roman" w:hAnsi="Times New Roman"/>
          <w:sz w:val="24"/>
          <w:szCs w:val="24"/>
        </w:rPr>
        <w:lastRenderedPageBreak/>
        <w:t xml:space="preserve">угрозы устойчивости данной сферы финансовой системы, однако в контексте прочих ее сегментов, демонстрирующих относительную стабильность, кажется незначительной детерминантой; </w:t>
      </w:r>
    </w:p>
    <w:p w14:paraId="281F245B" w14:textId="48729D57" w:rsidR="00C27F5B" w:rsidRDefault="00C27F5B" w:rsidP="00C27F5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inline distT="0" distB="0" distL="0" distR="0" wp14:anchorId="700AFE6D" wp14:editId="435772E5">
            <wp:extent cx="6120130" cy="1990725"/>
            <wp:effectExtent l="0" t="0" r="0" b="0"/>
            <wp:docPr id="2" name="Диаграмма 2">
              <a:extLst xmlns:a="http://schemas.openxmlformats.org/drawingml/2006/main">
                <a:ext uri="{FF2B5EF4-FFF2-40B4-BE49-F238E27FC236}">
                  <a16:creationId xmlns:a16="http://schemas.microsoft.com/office/drawing/2014/main" id="{2480826C-9981-49F2-8C80-15CE237614A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2E2D5B90" w14:textId="5DA1ACFB" w:rsidR="00A02085" w:rsidRDefault="00A02085" w:rsidP="00A02085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Рисунок 2 — </w:t>
      </w:r>
      <w:r w:rsidRPr="00C27F5B">
        <w:rPr>
          <w:rFonts w:ascii="Times New Roman" w:hAnsi="Times New Roman"/>
          <w:sz w:val="24"/>
          <w:szCs w:val="24"/>
        </w:rPr>
        <w:t xml:space="preserve">Оценка устойчивости </w:t>
      </w:r>
      <w:r>
        <w:rPr>
          <w:rFonts w:ascii="Times New Roman" w:hAnsi="Times New Roman"/>
          <w:sz w:val="24"/>
          <w:szCs w:val="24"/>
        </w:rPr>
        <w:t>финансов нефинансовых организаций</w:t>
      </w:r>
      <w:r w:rsidRPr="00C27F5B">
        <w:rPr>
          <w:rFonts w:ascii="Times New Roman" w:hAnsi="Times New Roman"/>
          <w:sz w:val="24"/>
          <w:szCs w:val="24"/>
        </w:rPr>
        <w:t xml:space="preserve"> РФ </w:t>
      </w:r>
      <w:r>
        <w:rPr>
          <w:rFonts w:ascii="Times New Roman" w:hAnsi="Times New Roman"/>
          <w:sz w:val="24"/>
          <w:szCs w:val="24"/>
        </w:rPr>
        <w:t>(рассчитано автором)</w:t>
      </w:r>
    </w:p>
    <w:p w14:paraId="2D208F6F" w14:textId="77777777" w:rsidR="00A02085" w:rsidRPr="00A02085" w:rsidRDefault="00A02085" w:rsidP="00513F5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1DA5B419" w14:textId="096D539A" w:rsidR="00AF0422" w:rsidRDefault="00AF0422" w:rsidP="00513F5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финансы финансовых посредников</w:t>
      </w:r>
      <w:r w:rsidR="00A02085">
        <w:rPr>
          <w:rFonts w:ascii="Times New Roman" w:hAnsi="Times New Roman"/>
          <w:sz w:val="24"/>
          <w:szCs w:val="24"/>
        </w:rPr>
        <w:t xml:space="preserve"> (рисунок 3)</w:t>
      </w:r>
      <w:r>
        <w:rPr>
          <w:rFonts w:ascii="Times New Roman" w:hAnsi="Times New Roman"/>
          <w:sz w:val="24"/>
          <w:szCs w:val="24"/>
        </w:rPr>
        <w:t xml:space="preserve">, а именно банковский сектор в части </w:t>
      </w:r>
      <w:r w:rsidR="00513F54">
        <w:rPr>
          <w:rFonts w:ascii="Times New Roman" w:hAnsi="Times New Roman"/>
          <w:sz w:val="24"/>
          <w:szCs w:val="24"/>
        </w:rPr>
        <w:t>динамики активов банков, % к ВВП</w:t>
      </w:r>
      <w:r>
        <w:rPr>
          <w:rFonts w:ascii="Times New Roman" w:hAnsi="Times New Roman"/>
          <w:sz w:val="24"/>
          <w:szCs w:val="24"/>
        </w:rPr>
        <w:t xml:space="preserve"> (</w:t>
      </w:r>
      <w:r w:rsidR="00513F54">
        <w:rPr>
          <w:rFonts w:ascii="Times New Roman" w:hAnsi="Times New Roman"/>
          <w:sz w:val="24"/>
          <w:szCs w:val="24"/>
        </w:rPr>
        <w:t xml:space="preserve">обуславливается диспропорциями сектора, преобладанием проблемных активов на балансе банковских организаций, отсутствием долгосрочных источников финансирования деятельности, угрозами внешнеполитического и экономического давления, а также ужесточением монетарной политики Банка России); фондовый рынок в части капитализации рынка акций ММВБ по итогам торгов на конец </w:t>
      </w:r>
      <w:r w:rsidR="00513F54">
        <w:rPr>
          <w:rFonts w:ascii="Times New Roman" w:hAnsi="Times New Roman"/>
          <w:sz w:val="24"/>
          <w:szCs w:val="24"/>
          <w:lang w:val="en-US"/>
        </w:rPr>
        <w:t>IV</w:t>
      </w:r>
      <w:r w:rsidR="00513F54">
        <w:rPr>
          <w:rFonts w:ascii="Times New Roman" w:hAnsi="Times New Roman"/>
          <w:sz w:val="24"/>
          <w:szCs w:val="24"/>
        </w:rPr>
        <w:t xml:space="preserve"> кв. соответствующего года, % к ВВП (что вызвано колоссальной волатильностью рынка акций в условиях эскалации международной и внутренней нестабильности); страховой рынок в части динамики страховых премий, % к ВВП (что может быть обусловлено некоторой стагнацией в развитии страхования в России);</w:t>
      </w:r>
    </w:p>
    <w:p w14:paraId="35EC81B1" w14:textId="48603DD5" w:rsidR="00A02085" w:rsidRDefault="00A02085" w:rsidP="00A0208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inline distT="0" distB="0" distL="0" distR="0" wp14:anchorId="2F30DF75" wp14:editId="420A51CA">
            <wp:extent cx="6120130" cy="2009955"/>
            <wp:effectExtent l="0" t="0" r="0" b="0"/>
            <wp:docPr id="3" name="Диаграмма 3">
              <a:extLst xmlns:a="http://schemas.openxmlformats.org/drawingml/2006/main">
                <a:ext uri="{FF2B5EF4-FFF2-40B4-BE49-F238E27FC236}">
                  <a16:creationId xmlns:a16="http://schemas.microsoft.com/office/drawing/2014/main" id="{8A3CC4C5-B93F-4DF1-A08D-C56C5D3C01D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4F1EB624" w14:textId="2E15BD8F" w:rsidR="00A02085" w:rsidRDefault="00A02085" w:rsidP="00A02085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Рисунок 3 — </w:t>
      </w:r>
      <w:r w:rsidRPr="00C27F5B">
        <w:rPr>
          <w:rFonts w:ascii="Times New Roman" w:hAnsi="Times New Roman"/>
          <w:sz w:val="24"/>
          <w:szCs w:val="24"/>
        </w:rPr>
        <w:t xml:space="preserve">Оценка устойчивости </w:t>
      </w:r>
      <w:r>
        <w:rPr>
          <w:rFonts w:ascii="Times New Roman" w:hAnsi="Times New Roman"/>
          <w:sz w:val="24"/>
          <w:szCs w:val="24"/>
        </w:rPr>
        <w:t>финансов финансовых посредников</w:t>
      </w:r>
      <w:r w:rsidRPr="00C27F5B">
        <w:rPr>
          <w:rFonts w:ascii="Times New Roman" w:hAnsi="Times New Roman"/>
          <w:sz w:val="24"/>
          <w:szCs w:val="24"/>
        </w:rPr>
        <w:t xml:space="preserve"> РФ </w:t>
      </w:r>
      <w:r>
        <w:rPr>
          <w:rFonts w:ascii="Times New Roman" w:hAnsi="Times New Roman"/>
          <w:sz w:val="24"/>
          <w:szCs w:val="24"/>
        </w:rPr>
        <w:t>(рассчитано автором)</w:t>
      </w:r>
    </w:p>
    <w:p w14:paraId="06679729" w14:textId="77777777" w:rsidR="00A02085" w:rsidRPr="00A02085" w:rsidRDefault="00A02085" w:rsidP="00513F5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711EAF81" w14:textId="1375F133" w:rsidR="00513F54" w:rsidRDefault="00513F54" w:rsidP="00513F5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финансы домашних хозяйств</w:t>
      </w:r>
      <w:r w:rsidR="00A02085">
        <w:rPr>
          <w:rFonts w:ascii="Times New Roman" w:hAnsi="Times New Roman"/>
          <w:sz w:val="24"/>
          <w:szCs w:val="24"/>
        </w:rPr>
        <w:t xml:space="preserve"> (рисунок 4)</w:t>
      </w:r>
      <w:r>
        <w:rPr>
          <w:rFonts w:ascii="Times New Roman" w:hAnsi="Times New Roman"/>
          <w:sz w:val="24"/>
          <w:szCs w:val="24"/>
        </w:rPr>
        <w:t xml:space="preserve"> в части прироста сбережений населения, % к предыдущему году (наиболее хаотичный показатель из рассмотренных, что обуславливается особенностями потребительского поведения населения — в кризисные моменты </w:t>
      </w:r>
      <w:r w:rsidR="002F5ADC">
        <w:rPr>
          <w:rFonts w:ascii="Times New Roman" w:hAnsi="Times New Roman"/>
          <w:sz w:val="24"/>
          <w:szCs w:val="24"/>
        </w:rPr>
        <w:t>при растущих инфляционных ожиданиях предельная склонность к потреблению среднестатистического гражданина сегодня будет выше, чем завтра).</w:t>
      </w:r>
    </w:p>
    <w:p w14:paraId="254F7F92" w14:textId="1AB60831" w:rsidR="00A02085" w:rsidRPr="00765990" w:rsidRDefault="00466F74" w:rsidP="00A0208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Таким образом, разработка мероприятий государственной политики по повышению устойчивости финансовой системы России в контексте новых вызовов должна опираться на </w:t>
      </w:r>
      <w:r w:rsidR="00765990">
        <w:rPr>
          <w:rFonts w:ascii="Times New Roman" w:hAnsi="Times New Roman"/>
          <w:sz w:val="24"/>
          <w:szCs w:val="24"/>
        </w:rPr>
        <w:t xml:space="preserve">создание инвестиционной инфраструктуры и улучшение инвестиционного климата с целью стимулирования деловой активности и повышения эффективности трансформации национальных финансовых ресурсов в инвестиции; поддержку базовых отраслей промышленности, </w:t>
      </w:r>
      <w:r w:rsidR="00765990">
        <w:rPr>
          <w:rFonts w:ascii="Times New Roman" w:hAnsi="Times New Roman"/>
          <w:sz w:val="24"/>
          <w:szCs w:val="24"/>
          <w:lang w:val="en-US"/>
        </w:rPr>
        <w:t>IT</w:t>
      </w:r>
      <w:r w:rsidR="00765990" w:rsidRPr="00765990">
        <w:rPr>
          <w:rFonts w:ascii="Times New Roman" w:hAnsi="Times New Roman"/>
          <w:sz w:val="24"/>
          <w:szCs w:val="24"/>
        </w:rPr>
        <w:t>-</w:t>
      </w:r>
      <w:r w:rsidR="00765990">
        <w:rPr>
          <w:rFonts w:ascii="Times New Roman" w:hAnsi="Times New Roman"/>
          <w:sz w:val="24"/>
          <w:szCs w:val="24"/>
        </w:rPr>
        <w:t xml:space="preserve">сектора и крупных трансформационных проектов с долгосрочным </w:t>
      </w:r>
      <w:r w:rsidR="00765990">
        <w:rPr>
          <w:rFonts w:ascii="Times New Roman" w:hAnsi="Times New Roman"/>
          <w:sz w:val="24"/>
          <w:szCs w:val="24"/>
        </w:rPr>
        <w:lastRenderedPageBreak/>
        <w:t>мультипликатором для обеспечения стабильного инвестиционного роста на инновационной основе</w:t>
      </w:r>
      <w:r w:rsidR="0072785D">
        <w:rPr>
          <w:rFonts w:ascii="Times New Roman" w:hAnsi="Times New Roman"/>
          <w:sz w:val="24"/>
          <w:szCs w:val="24"/>
        </w:rPr>
        <w:t xml:space="preserve"> с помощью повышения доступности инвестиционных кредитов для бизнеса</w:t>
      </w:r>
      <w:r w:rsidR="00765990">
        <w:rPr>
          <w:rFonts w:ascii="Times New Roman" w:hAnsi="Times New Roman"/>
          <w:sz w:val="24"/>
          <w:szCs w:val="24"/>
        </w:rPr>
        <w:t>; повышение инвестиционной роли фондового рынка. В этом отношении требуется переориентация государственной финансовой политики на активное формирование новых рынков, вместо нивелирования их цикличных «провалов».</w:t>
      </w:r>
    </w:p>
    <w:p w14:paraId="1094FD7D" w14:textId="0A5FEEB9" w:rsidR="006C26F5" w:rsidRDefault="00A02085" w:rsidP="00A0208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inline distT="0" distB="0" distL="0" distR="0" wp14:anchorId="1D55F4E5" wp14:editId="52C4F5CC">
            <wp:extent cx="6120130" cy="2277373"/>
            <wp:effectExtent l="0" t="0" r="0" b="8890"/>
            <wp:docPr id="4" name="Диаграмма 4">
              <a:extLst xmlns:a="http://schemas.openxmlformats.org/drawingml/2006/main">
                <a:ext uri="{FF2B5EF4-FFF2-40B4-BE49-F238E27FC236}">
                  <a16:creationId xmlns:a16="http://schemas.microsoft.com/office/drawing/2014/main" id="{69EFB51A-1133-441B-86E8-9E6E35992D4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68CDD8D2" w14:textId="76220C3C" w:rsidR="006C26F5" w:rsidRPr="00513F54" w:rsidRDefault="00466F74" w:rsidP="00466F74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Рисунок 4 — </w:t>
      </w:r>
      <w:r w:rsidRPr="00C27F5B">
        <w:rPr>
          <w:rFonts w:ascii="Times New Roman" w:hAnsi="Times New Roman"/>
          <w:sz w:val="24"/>
          <w:szCs w:val="24"/>
        </w:rPr>
        <w:t xml:space="preserve">Оценка устойчивости </w:t>
      </w:r>
      <w:r>
        <w:rPr>
          <w:rFonts w:ascii="Times New Roman" w:hAnsi="Times New Roman"/>
          <w:sz w:val="24"/>
          <w:szCs w:val="24"/>
        </w:rPr>
        <w:t>финансов домашних хозяйств</w:t>
      </w:r>
      <w:r w:rsidRPr="00C27F5B">
        <w:rPr>
          <w:rFonts w:ascii="Times New Roman" w:hAnsi="Times New Roman"/>
          <w:sz w:val="24"/>
          <w:szCs w:val="24"/>
        </w:rPr>
        <w:t xml:space="preserve"> РФ </w:t>
      </w:r>
      <w:r>
        <w:rPr>
          <w:rFonts w:ascii="Times New Roman" w:hAnsi="Times New Roman"/>
          <w:sz w:val="24"/>
          <w:szCs w:val="24"/>
        </w:rPr>
        <w:t>(рассчитано автором)</w:t>
      </w:r>
    </w:p>
    <w:p w14:paraId="72B35666" w14:textId="650685FB" w:rsidR="000D0EB1" w:rsidRPr="00466F74" w:rsidRDefault="000D0EB1" w:rsidP="00F018A7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33C80323" w14:textId="4A8D0D6C" w:rsidR="002F5ADC" w:rsidRPr="002F5ADC" w:rsidRDefault="00765990" w:rsidP="002F5AD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Особое внимание при этом необходимо уделить развитию финансового рынка России. Ключевую роль при этом играет повышение уровня доверия населения к его институтам. В этом отношении предлагается </w:t>
      </w:r>
      <w:r w:rsidR="00F455DA">
        <w:rPr>
          <w:rFonts w:ascii="Times New Roman" w:hAnsi="Times New Roman"/>
          <w:sz w:val="24"/>
          <w:szCs w:val="24"/>
        </w:rPr>
        <w:t xml:space="preserve">расширить перечень финансовых инструментов, попадающих под защиту Агентства по страхованию вкладов (АСВ), включив в него все облигации федерального займа и долгосрочные корпоративные облигации (сроком от 10 лет), а также средства инвесторов, размещенные на ИИС; расширить максимальный объем застрахованной АСВ суммы средств до 5 млн руб., при этом в роли страховых взносов могут выступать часть купонного дохода по облигациям (в виде % купонной доходности, но не более 0,3 %) или часть НДФЛ с прибыли инвесторов; ужесточить требования Банка России к ПАО (включая </w:t>
      </w:r>
      <w:r w:rsidR="00105298">
        <w:rPr>
          <w:rFonts w:ascii="Times New Roman" w:hAnsi="Times New Roman"/>
          <w:sz w:val="24"/>
          <w:szCs w:val="24"/>
        </w:rPr>
        <w:t>эмитентов, не входящих в котировальные списки Московской биржи)</w:t>
      </w:r>
      <w:r w:rsidR="00F455DA">
        <w:rPr>
          <w:rFonts w:ascii="Times New Roman" w:hAnsi="Times New Roman"/>
          <w:sz w:val="24"/>
          <w:szCs w:val="24"/>
        </w:rPr>
        <w:t xml:space="preserve"> по полноте и своевременности публикуемой отчетности, а также по раскрытию всей корпоративной информации с целью нивелирования влияния инсайдерской информации на конъюнктуру фондового рынка</w:t>
      </w:r>
      <w:r w:rsidR="00105298">
        <w:rPr>
          <w:rFonts w:ascii="Times New Roman" w:hAnsi="Times New Roman"/>
          <w:sz w:val="24"/>
          <w:szCs w:val="24"/>
        </w:rPr>
        <w:t>.</w:t>
      </w:r>
    </w:p>
    <w:p w14:paraId="20DAF03A" w14:textId="1B3C2503" w:rsidR="000D0EB1" w:rsidRDefault="002F5ADC" w:rsidP="002F5AD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F5ADC">
        <w:rPr>
          <w:rFonts w:ascii="Times New Roman" w:hAnsi="Times New Roman"/>
          <w:sz w:val="24"/>
          <w:szCs w:val="24"/>
        </w:rPr>
        <w:t xml:space="preserve">Реализация предложенных мероприятий по повышению устойчивости финансового </w:t>
      </w:r>
      <w:r w:rsidR="0072785D">
        <w:rPr>
          <w:rFonts w:ascii="Times New Roman" w:hAnsi="Times New Roman"/>
          <w:sz w:val="24"/>
          <w:szCs w:val="24"/>
        </w:rPr>
        <w:t>сектора</w:t>
      </w:r>
      <w:r w:rsidRPr="002F5ADC">
        <w:rPr>
          <w:rFonts w:ascii="Times New Roman" w:hAnsi="Times New Roman"/>
          <w:sz w:val="24"/>
          <w:szCs w:val="24"/>
        </w:rPr>
        <w:t xml:space="preserve"> будет способствовать укреплению устойчивости других элементов национальной финансовой системы и обеспечению финансового суверенитета России перед лицом эскалации внешних вызовов. Так, совершенствование финансовых инструментов долевого </w:t>
      </w:r>
      <w:r w:rsidR="00105298">
        <w:rPr>
          <w:rFonts w:ascii="Times New Roman" w:hAnsi="Times New Roman"/>
          <w:sz w:val="24"/>
          <w:szCs w:val="24"/>
        </w:rPr>
        <w:t xml:space="preserve">и долгового </w:t>
      </w:r>
      <w:r w:rsidRPr="002F5ADC">
        <w:rPr>
          <w:rFonts w:ascii="Times New Roman" w:hAnsi="Times New Roman"/>
          <w:sz w:val="24"/>
          <w:szCs w:val="24"/>
        </w:rPr>
        <w:t>инвестирования, форм привлечения сбережений населения на долгосрочной основе</w:t>
      </w:r>
      <w:r w:rsidR="0072785D">
        <w:rPr>
          <w:rFonts w:ascii="Times New Roman" w:hAnsi="Times New Roman"/>
          <w:sz w:val="24"/>
          <w:szCs w:val="24"/>
        </w:rPr>
        <w:t xml:space="preserve">, повышение доступности инвестиционных кредитов </w:t>
      </w:r>
      <w:r w:rsidRPr="002F5ADC">
        <w:rPr>
          <w:rFonts w:ascii="Times New Roman" w:hAnsi="Times New Roman"/>
          <w:sz w:val="24"/>
          <w:szCs w:val="24"/>
        </w:rPr>
        <w:t>и иные меры позволят укрепить финансы не только финансовых посредников, но и корпоративного сектора, а также домашних хозяйств, что, в свою очередь</w:t>
      </w:r>
      <w:r w:rsidR="00B66CFE">
        <w:rPr>
          <w:rFonts w:ascii="Times New Roman" w:hAnsi="Times New Roman"/>
          <w:sz w:val="24"/>
          <w:szCs w:val="24"/>
        </w:rPr>
        <w:t>,</w:t>
      </w:r>
      <w:r w:rsidRPr="002F5ADC">
        <w:rPr>
          <w:rFonts w:ascii="Times New Roman" w:hAnsi="Times New Roman"/>
          <w:sz w:val="24"/>
          <w:szCs w:val="24"/>
        </w:rPr>
        <w:t xml:space="preserve"> обеспечит устойчивость доходной базы бюджета.</w:t>
      </w:r>
    </w:p>
    <w:p w14:paraId="1F0EE270" w14:textId="77777777" w:rsidR="000D0EB1" w:rsidRPr="00105298" w:rsidRDefault="000D0EB1" w:rsidP="00F018A7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5CBFCDD6" w14:textId="3C1D4F85" w:rsidR="00F018A7" w:rsidRDefault="00F018A7" w:rsidP="00F018A7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ЛИТЕРАТУРА</w:t>
      </w:r>
    </w:p>
    <w:p w14:paraId="79081296" w14:textId="77777777" w:rsidR="00F018A7" w:rsidRPr="00A94AF6" w:rsidRDefault="00F018A7" w:rsidP="00F018A7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94AF6">
        <w:rPr>
          <w:rFonts w:ascii="Times New Roman" w:hAnsi="Times New Roman"/>
          <w:sz w:val="24"/>
          <w:szCs w:val="24"/>
        </w:rPr>
        <w:t>Соболев Э. В. Трансформация экономических кризисов: содержательное постоянство в меняющихся формах // Путеводитель предпринимателя. 2021. Т. 14. № 2. С. 78–85.</w:t>
      </w:r>
    </w:p>
    <w:p w14:paraId="74DB8418" w14:textId="77777777" w:rsidR="00F018A7" w:rsidRPr="00A94AF6" w:rsidRDefault="00F018A7" w:rsidP="00F018A7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A94AF6">
        <w:rPr>
          <w:rFonts w:ascii="Times New Roman" w:hAnsi="Times New Roman"/>
          <w:sz w:val="24"/>
          <w:szCs w:val="24"/>
        </w:rPr>
        <w:t>Будович</w:t>
      </w:r>
      <w:proofErr w:type="spellEnd"/>
      <w:r w:rsidRPr="00A94AF6">
        <w:rPr>
          <w:rFonts w:ascii="Times New Roman" w:hAnsi="Times New Roman"/>
          <w:sz w:val="24"/>
          <w:szCs w:val="24"/>
        </w:rPr>
        <w:t xml:space="preserve"> Ю. И., Лебедев К. Н., </w:t>
      </w:r>
      <w:proofErr w:type="spellStart"/>
      <w:r w:rsidRPr="00A94AF6">
        <w:rPr>
          <w:rFonts w:ascii="Times New Roman" w:hAnsi="Times New Roman"/>
          <w:sz w:val="24"/>
          <w:szCs w:val="24"/>
        </w:rPr>
        <w:t>Будович</w:t>
      </w:r>
      <w:proofErr w:type="spellEnd"/>
      <w:r w:rsidRPr="00A94AF6">
        <w:rPr>
          <w:rFonts w:ascii="Times New Roman" w:hAnsi="Times New Roman"/>
          <w:sz w:val="24"/>
          <w:szCs w:val="24"/>
        </w:rPr>
        <w:t xml:space="preserve"> М. С., Гришина А. К. // Теория и история становления системы финансовых угроз: монография. Москва: Прометей. 2022. С. 280.</w:t>
      </w:r>
    </w:p>
    <w:p w14:paraId="2BD0A644" w14:textId="77777777" w:rsidR="00F018A7" w:rsidRPr="00A94AF6" w:rsidRDefault="00F018A7" w:rsidP="00F018A7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94AF6">
        <w:rPr>
          <w:rFonts w:ascii="Times New Roman" w:hAnsi="Times New Roman"/>
          <w:sz w:val="24"/>
          <w:szCs w:val="24"/>
        </w:rPr>
        <w:t xml:space="preserve">Соболев Э. В., Вихарев В. В., Михайлов В. В. Трансформация экономики Краснодарского края: структурно-динамический анализ, прогноз и институциональные императивы // Вестник Академии Знаний. </w:t>
      </w:r>
      <w:r w:rsidRPr="00A94AF6">
        <w:rPr>
          <w:rFonts w:ascii="Times New Roman" w:hAnsi="Times New Roman"/>
          <w:sz w:val="24"/>
          <w:szCs w:val="24"/>
          <w:lang w:val="en-US"/>
        </w:rPr>
        <w:t xml:space="preserve">2023. №5 (58). </w:t>
      </w:r>
      <w:r w:rsidRPr="00A94AF6">
        <w:rPr>
          <w:rFonts w:ascii="Times New Roman" w:hAnsi="Times New Roman"/>
          <w:sz w:val="24"/>
          <w:szCs w:val="24"/>
        </w:rPr>
        <w:t>С</w:t>
      </w:r>
      <w:r w:rsidRPr="00A94AF6">
        <w:rPr>
          <w:rFonts w:ascii="Times New Roman" w:hAnsi="Times New Roman"/>
          <w:sz w:val="24"/>
          <w:szCs w:val="24"/>
          <w:lang w:val="en-US"/>
        </w:rPr>
        <w:t xml:space="preserve">. 285–291. </w:t>
      </w:r>
    </w:p>
    <w:p w14:paraId="108C731E" w14:textId="77777777" w:rsidR="00F018A7" w:rsidRPr="00A94AF6" w:rsidRDefault="00F018A7" w:rsidP="00F018A7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A94AF6">
        <w:rPr>
          <w:rFonts w:ascii="Times New Roman" w:hAnsi="Times New Roman"/>
          <w:sz w:val="24"/>
          <w:szCs w:val="24"/>
          <w:lang w:val="en-US"/>
        </w:rPr>
        <w:t>Levine R. Finance and growth: theory and evidence. // National Bureau of Economic Research, Inc, NBER Working Papers. 2004. №10766.</w:t>
      </w:r>
    </w:p>
    <w:p w14:paraId="4B806294" w14:textId="07F7F666" w:rsidR="00F018A7" w:rsidRPr="00A94AF6" w:rsidRDefault="00F018A7" w:rsidP="00BC74E4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94AF6">
        <w:rPr>
          <w:rFonts w:ascii="Times New Roman" w:hAnsi="Times New Roman"/>
          <w:sz w:val="24"/>
          <w:szCs w:val="24"/>
        </w:rPr>
        <w:lastRenderedPageBreak/>
        <w:t>Международный валютный фонд. Официальный сайт [Электронный ресурс]</w:t>
      </w:r>
      <w:r w:rsidR="00BC74E4" w:rsidRPr="00A94AF6">
        <w:rPr>
          <w:rFonts w:ascii="Times New Roman" w:hAnsi="Times New Roman"/>
          <w:sz w:val="24"/>
          <w:szCs w:val="24"/>
        </w:rPr>
        <w:t>.</w:t>
      </w:r>
      <w:r w:rsidRPr="00A94AF6">
        <w:rPr>
          <w:rFonts w:ascii="Times New Roman" w:hAnsi="Times New Roman"/>
          <w:sz w:val="24"/>
          <w:szCs w:val="24"/>
        </w:rPr>
        <w:t xml:space="preserve"> Режим доступа: </w:t>
      </w:r>
      <w:hyperlink r:id="rId11" w:history="1">
        <w:r w:rsidR="00BC74E4" w:rsidRPr="00A94AF6">
          <w:rPr>
            <w:rStyle w:val="a3"/>
            <w:rFonts w:ascii="Times New Roman" w:hAnsi="Times New Roman"/>
            <w:sz w:val="24"/>
            <w:szCs w:val="24"/>
            <w:lang w:val="en-US"/>
          </w:rPr>
          <w:t>www</w:t>
        </w:r>
        <w:r w:rsidR="00BC74E4" w:rsidRPr="00A94AF6">
          <w:rPr>
            <w:rStyle w:val="a3"/>
            <w:rFonts w:ascii="Times New Roman" w:hAnsi="Times New Roman"/>
            <w:sz w:val="24"/>
            <w:szCs w:val="24"/>
          </w:rPr>
          <w:t>.</w:t>
        </w:r>
        <w:proofErr w:type="spellStart"/>
        <w:r w:rsidR="00BC74E4" w:rsidRPr="00A94AF6">
          <w:rPr>
            <w:rStyle w:val="a3"/>
            <w:rFonts w:ascii="Times New Roman" w:hAnsi="Times New Roman"/>
            <w:sz w:val="24"/>
            <w:szCs w:val="24"/>
            <w:lang w:val="en-US"/>
          </w:rPr>
          <w:t>imf</w:t>
        </w:r>
        <w:proofErr w:type="spellEnd"/>
        <w:r w:rsidR="00BC74E4" w:rsidRPr="00A94AF6">
          <w:rPr>
            <w:rStyle w:val="a3"/>
            <w:rFonts w:ascii="Times New Roman" w:hAnsi="Times New Roman"/>
            <w:sz w:val="24"/>
            <w:szCs w:val="24"/>
          </w:rPr>
          <w:t>.</w:t>
        </w:r>
        <w:r w:rsidR="00BC74E4" w:rsidRPr="00A94AF6">
          <w:rPr>
            <w:rStyle w:val="a3"/>
            <w:rFonts w:ascii="Times New Roman" w:hAnsi="Times New Roman"/>
            <w:sz w:val="24"/>
            <w:szCs w:val="24"/>
            <w:lang w:val="en-US"/>
          </w:rPr>
          <w:t>org</w:t>
        </w:r>
      </w:hyperlink>
      <w:r w:rsidR="00BC74E4" w:rsidRPr="00A94AF6">
        <w:rPr>
          <w:rFonts w:ascii="Times New Roman" w:hAnsi="Times New Roman"/>
          <w:color w:val="0563C1" w:themeColor="hyperlink"/>
          <w:sz w:val="24"/>
          <w:szCs w:val="24"/>
          <w:u w:val="single"/>
        </w:rPr>
        <w:t xml:space="preserve"> </w:t>
      </w:r>
      <w:r w:rsidR="00BC74E4" w:rsidRPr="00A94AF6">
        <w:rPr>
          <w:rFonts w:ascii="Times New Roman" w:hAnsi="Times New Roman"/>
          <w:sz w:val="24"/>
          <w:szCs w:val="24"/>
        </w:rPr>
        <w:t>(дата обращения: 06.05.2024).</w:t>
      </w:r>
    </w:p>
    <w:p w14:paraId="4EB46B17" w14:textId="439202A0" w:rsidR="008B010B" w:rsidRPr="00A94AF6" w:rsidRDefault="008B010B" w:rsidP="00BC74E4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94AF6">
        <w:rPr>
          <w:rFonts w:ascii="Times New Roman" w:hAnsi="Times New Roman"/>
          <w:sz w:val="24"/>
          <w:szCs w:val="24"/>
        </w:rPr>
        <w:t xml:space="preserve">Андреева </w:t>
      </w:r>
      <w:proofErr w:type="gramStart"/>
      <w:r w:rsidRPr="00A94AF6">
        <w:rPr>
          <w:rFonts w:ascii="Times New Roman" w:hAnsi="Times New Roman"/>
          <w:sz w:val="24"/>
          <w:szCs w:val="24"/>
        </w:rPr>
        <w:t>О.В.</w:t>
      </w:r>
      <w:proofErr w:type="gramEnd"/>
      <w:r w:rsidRPr="00A94AF6">
        <w:rPr>
          <w:rFonts w:ascii="Times New Roman" w:hAnsi="Times New Roman"/>
          <w:sz w:val="24"/>
          <w:szCs w:val="24"/>
        </w:rPr>
        <w:t xml:space="preserve"> Технологический и финансовый суверенитет Российской Федерации: проблемы, противоречия, механизм обеспечения // JER. 2014. №4. C. 126–135.</w:t>
      </w:r>
    </w:p>
    <w:p w14:paraId="5BC76946" w14:textId="77777777" w:rsidR="008B010B" w:rsidRPr="00A94AF6" w:rsidRDefault="008B010B" w:rsidP="008B010B">
      <w:pPr>
        <w:pStyle w:val="a7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proofErr w:type="spellStart"/>
      <w:r w:rsidRPr="00A94AF6">
        <w:rPr>
          <w:rFonts w:ascii="Times New Roman" w:hAnsi="Times New Roman"/>
          <w:sz w:val="24"/>
          <w:szCs w:val="24"/>
          <w:lang w:val="en-US"/>
        </w:rPr>
        <w:t>Pistor</w:t>
      </w:r>
      <w:proofErr w:type="spellEnd"/>
      <w:r w:rsidRPr="00A94AF6">
        <w:rPr>
          <w:rFonts w:ascii="Times New Roman" w:hAnsi="Times New Roman"/>
          <w:sz w:val="24"/>
          <w:szCs w:val="24"/>
          <w:lang w:val="en-US"/>
        </w:rPr>
        <w:t xml:space="preserve"> K. From Territorial to Monetary Sovereignty // 18 Theoretical Inq. 2017. </w:t>
      </w:r>
      <w:r w:rsidRPr="00A94AF6">
        <w:rPr>
          <w:rFonts w:ascii="Times New Roman" w:hAnsi="Times New Roman"/>
          <w:sz w:val="24"/>
          <w:szCs w:val="24"/>
        </w:rPr>
        <w:t>P. 491–517.</w:t>
      </w:r>
    </w:p>
    <w:p w14:paraId="537B9143" w14:textId="3ECB2126" w:rsidR="008B010B" w:rsidRPr="00A94AF6" w:rsidRDefault="008B010B" w:rsidP="00BC74E4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94AF6">
        <w:rPr>
          <w:rFonts w:ascii="Times New Roman" w:hAnsi="Times New Roman"/>
          <w:bCs/>
          <w:sz w:val="24"/>
          <w:szCs w:val="24"/>
        </w:rPr>
        <w:t xml:space="preserve">Дудин </w:t>
      </w:r>
      <w:proofErr w:type="gramStart"/>
      <w:r w:rsidRPr="00A94AF6">
        <w:rPr>
          <w:rFonts w:ascii="Times New Roman" w:hAnsi="Times New Roman"/>
          <w:bCs/>
          <w:sz w:val="24"/>
          <w:szCs w:val="24"/>
        </w:rPr>
        <w:t>М.Н.</w:t>
      </w:r>
      <w:proofErr w:type="gramEnd"/>
      <w:r w:rsidRPr="00A94AF6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A94AF6">
        <w:rPr>
          <w:rFonts w:ascii="Times New Roman" w:hAnsi="Times New Roman"/>
          <w:bCs/>
          <w:sz w:val="24"/>
          <w:szCs w:val="24"/>
        </w:rPr>
        <w:t>Шкодинский</w:t>
      </w:r>
      <w:proofErr w:type="spellEnd"/>
      <w:r w:rsidRPr="00A94AF6">
        <w:rPr>
          <w:rFonts w:ascii="Times New Roman" w:hAnsi="Times New Roman"/>
          <w:bCs/>
          <w:sz w:val="24"/>
          <w:szCs w:val="24"/>
        </w:rPr>
        <w:t xml:space="preserve"> С.В., Иванов М.О. Актуальные проблемы обеспечения финансового суверенитета России в условиях международных санкций // Финансы: теория и практика. 2023. №27(1). С.185-194.</w:t>
      </w:r>
    </w:p>
    <w:p w14:paraId="46086B10" w14:textId="237C65EB" w:rsidR="008B010B" w:rsidRPr="00A94AF6" w:rsidRDefault="008B010B" w:rsidP="008B010B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94AF6">
        <w:rPr>
          <w:rFonts w:ascii="Times New Roman" w:hAnsi="Times New Roman"/>
          <w:sz w:val="24"/>
          <w:szCs w:val="24"/>
        </w:rPr>
        <w:t xml:space="preserve">Сетевое издание «Ведомости». Официальный сайт [Электронный ресурс]. Режим доступа: </w:t>
      </w:r>
      <w:r w:rsidRPr="00A94AF6">
        <w:rPr>
          <w:rFonts w:ascii="Times New Roman" w:hAnsi="Times New Roman"/>
          <w:color w:val="0563C1" w:themeColor="hyperlink"/>
          <w:sz w:val="24"/>
          <w:szCs w:val="24"/>
          <w:u w:val="single"/>
          <w:lang w:val="en-US"/>
        </w:rPr>
        <w:t>www.vedomosti.ru.</w:t>
      </w:r>
      <w:r w:rsidRPr="00A94AF6">
        <w:rPr>
          <w:rFonts w:ascii="Times New Roman" w:hAnsi="Times New Roman"/>
          <w:color w:val="0563C1" w:themeColor="hyperlink"/>
          <w:sz w:val="24"/>
          <w:szCs w:val="24"/>
          <w:u w:val="single"/>
        </w:rPr>
        <w:t xml:space="preserve"> </w:t>
      </w:r>
      <w:r w:rsidRPr="00A94AF6">
        <w:rPr>
          <w:rFonts w:ascii="Times New Roman" w:hAnsi="Times New Roman"/>
          <w:sz w:val="24"/>
          <w:szCs w:val="24"/>
        </w:rPr>
        <w:t>(дата обращения: 06.05.2024).</w:t>
      </w:r>
    </w:p>
    <w:p w14:paraId="6532C6DB" w14:textId="16E3C0C4" w:rsidR="008B010B" w:rsidRPr="00A94AF6" w:rsidRDefault="008B010B" w:rsidP="008B010B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94AF6">
        <w:rPr>
          <w:rFonts w:ascii="Times New Roman" w:hAnsi="Times New Roman"/>
          <w:sz w:val="24"/>
          <w:szCs w:val="24"/>
        </w:rPr>
        <w:t xml:space="preserve">Сетевое издание «Коммерсантъ». Официальный сайт [Электронный ресурс]. Режим доступа: </w:t>
      </w:r>
      <w:r w:rsidRPr="00A94AF6">
        <w:rPr>
          <w:rFonts w:ascii="Times New Roman" w:hAnsi="Times New Roman"/>
          <w:color w:val="0563C1" w:themeColor="hyperlink"/>
          <w:sz w:val="24"/>
          <w:szCs w:val="24"/>
          <w:u w:val="single"/>
          <w:lang w:val="en-US"/>
        </w:rPr>
        <w:t xml:space="preserve">www.kommersant.ru. </w:t>
      </w:r>
      <w:r w:rsidRPr="00A94AF6">
        <w:rPr>
          <w:rFonts w:ascii="Times New Roman" w:hAnsi="Times New Roman"/>
          <w:sz w:val="24"/>
          <w:szCs w:val="24"/>
        </w:rPr>
        <w:t>(дата обращения: 06.05.2024).</w:t>
      </w:r>
    </w:p>
    <w:p w14:paraId="6E3948AD" w14:textId="1E2313DA" w:rsidR="00F12A18" w:rsidRPr="00A94AF6" w:rsidRDefault="00F12A18" w:rsidP="00F12A18">
      <w:pPr>
        <w:pStyle w:val="a7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 w:rsidRPr="00A94AF6">
        <w:rPr>
          <w:rFonts w:ascii="Times New Roman" w:hAnsi="Times New Roman"/>
          <w:sz w:val="24"/>
          <w:szCs w:val="24"/>
        </w:rPr>
        <w:t xml:space="preserve">Игонина </w:t>
      </w:r>
      <w:proofErr w:type="gramStart"/>
      <w:r w:rsidRPr="00A94AF6">
        <w:rPr>
          <w:rFonts w:ascii="Times New Roman" w:hAnsi="Times New Roman"/>
          <w:sz w:val="24"/>
          <w:szCs w:val="24"/>
        </w:rPr>
        <w:t>Л.Л.</w:t>
      </w:r>
      <w:proofErr w:type="gramEnd"/>
      <w:r w:rsidRPr="00A94AF6">
        <w:rPr>
          <w:rFonts w:ascii="Times New Roman" w:hAnsi="Times New Roman"/>
          <w:sz w:val="24"/>
          <w:szCs w:val="24"/>
        </w:rPr>
        <w:t xml:space="preserve"> Финансовая система и экономическое развитие: монография // М.: Издательство </w:t>
      </w:r>
      <w:proofErr w:type="spellStart"/>
      <w:r w:rsidRPr="00A94AF6">
        <w:rPr>
          <w:rFonts w:ascii="Times New Roman" w:hAnsi="Times New Roman"/>
          <w:sz w:val="24"/>
          <w:szCs w:val="24"/>
        </w:rPr>
        <w:t>Кнорус</w:t>
      </w:r>
      <w:proofErr w:type="spellEnd"/>
      <w:r w:rsidRPr="00A94AF6">
        <w:rPr>
          <w:rFonts w:ascii="Times New Roman" w:hAnsi="Times New Roman"/>
          <w:sz w:val="24"/>
          <w:szCs w:val="24"/>
        </w:rPr>
        <w:t>, 2016. 140 с.</w:t>
      </w:r>
    </w:p>
    <w:p w14:paraId="11C38247" w14:textId="1B8891B4" w:rsidR="008B010B" w:rsidRDefault="00F12A18" w:rsidP="00F12A18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94AF6">
        <w:rPr>
          <w:rFonts w:ascii="Times New Roman" w:hAnsi="Times New Roman"/>
          <w:sz w:val="24"/>
          <w:szCs w:val="24"/>
        </w:rPr>
        <w:t xml:space="preserve">Игонина </w:t>
      </w:r>
      <w:proofErr w:type="gramStart"/>
      <w:r w:rsidRPr="00A94AF6">
        <w:rPr>
          <w:rFonts w:ascii="Times New Roman" w:hAnsi="Times New Roman"/>
          <w:sz w:val="24"/>
          <w:szCs w:val="24"/>
        </w:rPr>
        <w:t>Л.Л.</w:t>
      </w:r>
      <w:proofErr w:type="gramEnd"/>
      <w:r w:rsidRPr="00A94AF6">
        <w:rPr>
          <w:rFonts w:ascii="Times New Roman" w:hAnsi="Times New Roman"/>
          <w:sz w:val="24"/>
          <w:szCs w:val="24"/>
        </w:rPr>
        <w:t>, Михайлов В.В. Устойчивость национальной финансовой системы и финансовый суверенитет России в условиях эскалации внешних вызовов // Вестник Академии Знаний. 2024. №60 (1). С. 418–424.</w:t>
      </w:r>
    </w:p>
    <w:p w14:paraId="478A74C7" w14:textId="45597903" w:rsidR="00392955" w:rsidRPr="00466F74" w:rsidRDefault="000D0EB1" w:rsidP="00466F74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Федеральная служба государственной статистики. Официальный сайт </w:t>
      </w:r>
      <w:r w:rsidRPr="00A94AF6">
        <w:rPr>
          <w:rFonts w:ascii="Times New Roman" w:hAnsi="Times New Roman"/>
          <w:sz w:val="24"/>
          <w:szCs w:val="24"/>
        </w:rPr>
        <w:t xml:space="preserve">[Электронный ресурс]. Режим доступа: </w:t>
      </w:r>
      <w:r w:rsidRPr="000D0EB1">
        <w:rPr>
          <w:rFonts w:ascii="Times New Roman" w:hAnsi="Times New Roman"/>
          <w:color w:val="0563C1" w:themeColor="hyperlink"/>
          <w:sz w:val="24"/>
          <w:szCs w:val="24"/>
          <w:u w:val="single"/>
          <w:lang w:val="en-US"/>
        </w:rPr>
        <w:t xml:space="preserve">https://rosstat.gov.ru/ </w:t>
      </w:r>
      <w:r w:rsidRPr="00A94AF6">
        <w:rPr>
          <w:rFonts w:ascii="Times New Roman" w:hAnsi="Times New Roman"/>
          <w:sz w:val="24"/>
          <w:szCs w:val="24"/>
        </w:rPr>
        <w:t>(дата обращения: 06.05.2024).</w:t>
      </w:r>
    </w:p>
    <w:sectPr w:rsidR="00392955" w:rsidRPr="00466F74" w:rsidSect="0039295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16DE08" w14:textId="77777777" w:rsidR="00F71888" w:rsidRDefault="00F71888" w:rsidP="00392955">
      <w:pPr>
        <w:spacing w:after="0" w:line="240" w:lineRule="auto"/>
      </w:pPr>
      <w:r>
        <w:separator/>
      </w:r>
    </w:p>
  </w:endnote>
  <w:endnote w:type="continuationSeparator" w:id="0">
    <w:p w14:paraId="0E64955F" w14:textId="77777777" w:rsidR="00F71888" w:rsidRDefault="00F71888" w:rsidP="00392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8A5015" w14:textId="77777777" w:rsidR="00F71888" w:rsidRDefault="00F71888" w:rsidP="00392955">
      <w:pPr>
        <w:spacing w:after="0" w:line="240" w:lineRule="auto"/>
      </w:pPr>
      <w:r>
        <w:separator/>
      </w:r>
    </w:p>
  </w:footnote>
  <w:footnote w:type="continuationSeparator" w:id="0">
    <w:p w14:paraId="6A9C32D0" w14:textId="77777777" w:rsidR="00F71888" w:rsidRDefault="00F71888" w:rsidP="00392955">
      <w:pPr>
        <w:spacing w:after="0" w:line="240" w:lineRule="auto"/>
      </w:pPr>
      <w:r>
        <w:continuationSeparator/>
      </w:r>
    </w:p>
  </w:footnote>
  <w:footnote w:id="1">
    <w:p w14:paraId="62CF93FD" w14:textId="7AA82FC6" w:rsidR="00392955" w:rsidRPr="00392955" w:rsidRDefault="00392955" w:rsidP="00392955">
      <w:pPr>
        <w:pStyle w:val="a4"/>
        <w:jc w:val="both"/>
        <w:rPr>
          <w:rFonts w:ascii="Times New Roman" w:hAnsi="Times New Roman"/>
        </w:rPr>
      </w:pPr>
      <w:r w:rsidRPr="00392955">
        <w:rPr>
          <w:rStyle w:val="a6"/>
          <w:rFonts w:ascii="Times New Roman" w:hAnsi="Times New Roman"/>
        </w:rPr>
        <w:footnoteRef/>
      </w:r>
      <w:r w:rsidRPr="00392955">
        <w:rPr>
          <w:rFonts w:ascii="Times New Roman" w:hAnsi="Times New Roman"/>
        </w:rPr>
        <w:t xml:space="preserve"> Игонина Людмила Лазаревна</w:t>
      </w:r>
      <w:r>
        <w:rPr>
          <w:rFonts w:ascii="Times New Roman" w:hAnsi="Times New Roman"/>
        </w:rPr>
        <w:t>,</w:t>
      </w:r>
      <w:r w:rsidRPr="00392955">
        <w:rPr>
          <w:rFonts w:ascii="Times New Roman" w:hAnsi="Times New Roman"/>
        </w:rPr>
        <w:t xml:space="preserve"> д.э.н., профессор, зав. кафедрой «Экономика и финансы» ФГОБУ ВО «Финансовый университет при Правительстве Российской Федерации», Краснодарский филиал (350051, Россия, Краснодар, ул. ш. Нефтяников, 32), LLIgonina@fa.ru</w:t>
      </w:r>
      <w:r>
        <w:rPr>
          <w:rFonts w:ascii="Times New Roman" w:hAnsi="Times New Roman"/>
        </w:rPr>
        <w:t>.</w:t>
      </w:r>
    </w:p>
  </w:footnote>
  <w:footnote w:id="2">
    <w:p w14:paraId="098B8CBC" w14:textId="2B5E674E" w:rsidR="00392955" w:rsidRPr="00392955" w:rsidRDefault="00392955" w:rsidP="00392955">
      <w:pPr>
        <w:pStyle w:val="a4"/>
        <w:jc w:val="both"/>
        <w:rPr>
          <w:rFonts w:ascii="Times New Roman" w:hAnsi="Times New Roman"/>
        </w:rPr>
      </w:pPr>
      <w:r w:rsidRPr="00392955">
        <w:rPr>
          <w:rStyle w:val="a6"/>
          <w:rFonts w:ascii="Times New Roman" w:hAnsi="Times New Roman"/>
        </w:rPr>
        <w:footnoteRef/>
      </w:r>
      <w:r w:rsidRPr="00392955">
        <w:rPr>
          <w:rFonts w:ascii="Times New Roman" w:hAnsi="Times New Roman"/>
        </w:rPr>
        <w:t xml:space="preserve"> Михайлов Владислав Валерьевич, студент, ФГОБУ ВО «Финансовый университет при Правительстве Российской Федерации», Краснодарский филиал (350051, Россия, Краснодар, ул. ш. Нефтяников, 32), 100dot13sl210039@edu.fa.ru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8008A1"/>
    <w:multiLevelType w:val="hybridMultilevel"/>
    <w:tmpl w:val="5A4EB4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54D0"/>
    <w:rsid w:val="000D05B0"/>
    <w:rsid w:val="000D0EB1"/>
    <w:rsid w:val="00105298"/>
    <w:rsid w:val="001514F5"/>
    <w:rsid w:val="002F5ADC"/>
    <w:rsid w:val="00372E46"/>
    <w:rsid w:val="00392955"/>
    <w:rsid w:val="004554D0"/>
    <w:rsid w:val="00466F74"/>
    <w:rsid w:val="004B1AEA"/>
    <w:rsid w:val="00513F54"/>
    <w:rsid w:val="006C26F5"/>
    <w:rsid w:val="0072785D"/>
    <w:rsid w:val="00765990"/>
    <w:rsid w:val="007822B3"/>
    <w:rsid w:val="007B740F"/>
    <w:rsid w:val="007D7702"/>
    <w:rsid w:val="008B010B"/>
    <w:rsid w:val="00933CF6"/>
    <w:rsid w:val="00A02085"/>
    <w:rsid w:val="00A94AF6"/>
    <w:rsid w:val="00AD11EF"/>
    <w:rsid w:val="00AF0422"/>
    <w:rsid w:val="00B21945"/>
    <w:rsid w:val="00B66CFE"/>
    <w:rsid w:val="00B8115D"/>
    <w:rsid w:val="00BC74E4"/>
    <w:rsid w:val="00C27F5B"/>
    <w:rsid w:val="00D33AE2"/>
    <w:rsid w:val="00D4053B"/>
    <w:rsid w:val="00DE3B7C"/>
    <w:rsid w:val="00E5301D"/>
    <w:rsid w:val="00E74B2C"/>
    <w:rsid w:val="00EA010B"/>
    <w:rsid w:val="00F018A7"/>
    <w:rsid w:val="00F12A18"/>
    <w:rsid w:val="00F455DA"/>
    <w:rsid w:val="00F718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F867AF"/>
  <w15:chartTrackingRefBased/>
  <w15:docId w15:val="{14677D0D-7CF8-4655-A1DD-15D2286998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92955"/>
    <w:pPr>
      <w:spacing w:after="200" w:line="276" w:lineRule="auto"/>
    </w:pPr>
    <w:rPr>
      <w:rFonts w:ascii="Calibri" w:eastAsia="Calibri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92955"/>
    <w:rPr>
      <w:color w:val="0563C1" w:themeColor="hyperlink"/>
      <w:u w:val="single"/>
    </w:rPr>
  </w:style>
  <w:style w:type="paragraph" w:styleId="a4">
    <w:name w:val="footnote text"/>
    <w:basedOn w:val="a"/>
    <w:link w:val="a5"/>
    <w:uiPriority w:val="99"/>
    <w:semiHidden/>
    <w:unhideWhenUsed/>
    <w:rsid w:val="00392955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392955"/>
    <w:rPr>
      <w:rFonts w:ascii="Calibri" w:eastAsia="Calibri" w:hAnsi="Calibri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392955"/>
    <w:rPr>
      <w:vertAlign w:val="superscript"/>
    </w:rPr>
  </w:style>
  <w:style w:type="paragraph" w:styleId="a7">
    <w:name w:val="List Paragraph"/>
    <w:basedOn w:val="a"/>
    <w:uiPriority w:val="34"/>
    <w:qFormat/>
    <w:rsid w:val="00F018A7"/>
    <w:pPr>
      <w:ind w:left="720"/>
      <w:contextualSpacing/>
    </w:pPr>
  </w:style>
  <w:style w:type="character" w:styleId="a8">
    <w:name w:val="Unresolved Mention"/>
    <w:basedOn w:val="a0"/>
    <w:uiPriority w:val="99"/>
    <w:semiHidden/>
    <w:unhideWhenUsed/>
    <w:rsid w:val="00BC74E4"/>
    <w:rPr>
      <w:color w:val="605E5C"/>
      <w:shd w:val="clear" w:color="auto" w:fill="E1DFDD"/>
    </w:rPr>
  </w:style>
  <w:style w:type="table" w:styleId="a9">
    <w:name w:val="Table Grid"/>
    <w:basedOn w:val="a1"/>
    <w:uiPriority w:val="39"/>
    <w:rsid w:val="00BC74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7D770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915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8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2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imf.org" TargetMode="External"/><Relationship Id="rId5" Type="http://schemas.openxmlformats.org/officeDocument/2006/relationships/footnotes" Target="footnotes.xml"/><Relationship Id="rId10" Type="http://schemas.openxmlformats.org/officeDocument/2006/relationships/chart" Target="charts/chart4.xml"/><Relationship Id="rId4" Type="http://schemas.openxmlformats.org/officeDocument/2006/relationships/webSettings" Target="webSettings.xml"/><Relationship Id="rId9" Type="http://schemas.openxmlformats.org/officeDocument/2006/relationships/chart" Target="charts/chart3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vladm\&#1056;&#1072;&#1073;&#1086;&#1095;&#1080;&#1081;%20&#1089;&#1090;&#1086;&#1083;\&#1044;&#1072;&#1085;&#1085;&#1099;&#1077;%20&#1076;&#1083;&#1103;%20&#1089;&#1090;&#1072;&#1090;&#1100;&#1080;%20&#1087;&#1086;%20&#1091;&#1089;&#1090;&#1086;&#1081;&#1095;&#1080;&#1074;&#1086;&#1089;&#1090;&#1080;%20&#1092;&#1080;&#1085;&#1072;&#1085;&#1089;&#1086;&#1074;&#1086;&#1081;%20&#1089;&#1080;&#1089;&#1090;&#1077;&#1084;&#1099;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vladm\&#1056;&#1072;&#1073;&#1086;&#1095;&#1080;&#1081;%20&#1089;&#1090;&#1086;&#1083;\&#1044;&#1072;&#1085;&#1085;&#1099;&#1077;%20&#1076;&#1083;&#1103;%20&#1089;&#1090;&#1072;&#1090;&#1100;&#1080;%20&#1087;&#1086;%20&#1091;&#1089;&#1090;&#1086;&#1081;&#1095;&#1080;&#1074;&#1086;&#1089;&#1090;&#1080;%20&#1092;&#1080;&#1085;&#1072;&#1085;&#1089;&#1086;&#1074;&#1086;&#1081;%20&#1089;&#1080;&#1089;&#1090;&#1077;&#1084;&#1099;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vladm\&#1056;&#1072;&#1073;&#1086;&#1095;&#1080;&#1081;%20&#1089;&#1090;&#1086;&#1083;\&#1044;&#1072;&#1085;&#1085;&#1099;&#1077;%20&#1076;&#1083;&#1103;%20&#1089;&#1090;&#1072;&#1090;&#1100;&#1080;%20&#1087;&#1086;%20&#1091;&#1089;&#1090;&#1086;&#1081;&#1095;&#1080;&#1074;&#1086;&#1089;&#1090;&#1080;%20&#1092;&#1080;&#1085;&#1072;&#1085;&#1089;&#1086;&#1074;&#1086;&#1081;%20&#1089;&#1080;&#1089;&#1090;&#1077;&#1084;&#1099;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vladm\&#1056;&#1072;&#1073;&#1086;&#1095;&#1080;&#1081;%20&#1089;&#1090;&#1086;&#1083;\&#1044;&#1072;&#1085;&#1085;&#1099;&#1077;%20&#1076;&#1083;&#1103;%20&#1089;&#1090;&#1072;&#1090;&#1100;&#1080;%20&#1087;&#1086;%20&#1091;&#1089;&#1090;&#1086;&#1081;&#1095;&#1080;&#1074;&#1086;&#1089;&#1090;&#1080;%20&#1092;&#1080;&#1085;&#1072;&#1085;&#1089;&#1086;&#1074;&#1086;&#1081;%20&#1089;&#1080;&#1089;&#1090;&#1077;&#1084;&#1099;.xlsx" TargetMode="External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50122497397931087"/>
          <c:y val="3.9426523297491037E-2"/>
          <c:w val="0.46517900763545872"/>
          <c:h val="0.79677985564304465"/>
        </c:manualLayout>
      </c:layout>
      <c:barChart>
        <c:barDir val="bar"/>
        <c:grouping val="clustered"/>
        <c:varyColors val="0"/>
        <c:ser>
          <c:idx val="3"/>
          <c:order val="0"/>
          <c:tx>
            <c:strRef>
              <c:f>Лист1!$AV$23</c:f>
              <c:strCache>
                <c:ptCount val="1"/>
                <c:pt idx="0">
                  <c:v>Коэффициент Спирмена</c:v>
                </c:pt>
              </c:strCache>
            </c:strRef>
          </c:tx>
          <c:spPr>
            <a:solidFill>
              <a:schemeClr val="bg2">
                <a:lumMod val="50000"/>
              </a:schemeClr>
            </a:solidFill>
            <a:ln>
              <a:noFill/>
            </a:ln>
            <a:effectLst/>
          </c:spPr>
          <c:invertIfNegative val="0"/>
          <c:dPt>
            <c:idx val="0"/>
            <c:invertIfNegative val="0"/>
            <c:bubble3D val="0"/>
            <c:spPr>
              <a:solidFill>
                <a:schemeClr val="bg2">
                  <a:lumMod val="50000"/>
                </a:schemeClr>
              </a:solidFill>
              <a:ln w="19050">
                <a:solidFill>
                  <a:schemeClr val="tx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4060-4CB1-A7AA-7C36730D75F2}"/>
              </c:ext>
            </c:extLst>
          </c:dPt>
          <c:dPt>
            <c:idx val="1"/>
            <c:invertIfNegative val="0"/>
            <c:bubble3D val="0"/>
            <c:spPr>
              <a:solidFill>
                <a:schemeClr val="bg2">
                  <a:lumMod val="50000"/>
                </a:schemeClr>
              </a:solidFill>
              <a:ln w="19050">
                <a:solidFill>
                  <a:schemeClr val="tx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4060-4CB1-A7AA-7C36730D75F2}"/>
              </c:ext>
            </c:extLst>
          </c:dPt>
          <c:dPt>
            <c:idx val="3"/>
            <c:invertIfNegative val="0"/>
            <c:bubble3D val="0"/>
            <c:spPr>
              <a:solidFill>
                <a:schemeClr val="bg2">
                  <a:lumMod val="50000"/>
                </a:schemeClr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5-4060-4CB1-A7AA-7C36730D75F2}"/>
              </c:ext>
            </c:extLst>
          </c:dPt>
          <c:dLbls>
            <c:dLbl>
              <c:idx val="0"/>
              <c:layout>
                <c:manualLayout>
                  <c:x val="-1.0375596596804317E-2"/>
                  <c:y val="1.4933194326318972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4060-4CB1-A7AA-7C36730D75F2}"/>
                </c:ext>
              </c:extLst>
            </c:dLbl>
            <c:dLbl>
              <c:idx val="1"/>
              <c:layout>
                <c:manualLayout>
                  <c:x val="-1.0375596596804317E-2"/>
                  <c:y val="9.9555935299028391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4060-4CB1-A7AA-7C36730D75F2}"/>
                </c:ext>
              </c:extLst>
            </c:dLbl>
            <c:dLbl>
              <c:idx val="2"/>
              <c:layout>
                <c:manualLayout>
                  <c:x val="-1.4525835235526042E-2"/>
                  <c:y val="9.9555935299028391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4060-4CB1-A7AA-7C36730D75F2}"/>
                </c:ext>
              </c:extLst>
            </c:dLbl>
            <c:dLbl>
              <c:idx val="3"/>
              <c:layout>
                <c:manualLayout>
                  <c:x val="-1.245071591616518E-2"/>
                  <c:y val="4.9779927334867111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4060-4CB1-A7AA-7C36730D75F2}"/>
                </c:ext>
              </c:extLst>
            </c:dLbl>
            <c:dLbl>
              <c:idx val="4"/>
              <c:layout>
                <c:manualLayout>
                  <c:x val="-1.4525835235526042E-2"/>
                  <c:y val="3.9193707058394702E-7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4060-4CB1-A7AA-7C36730D75F2}"/>
                </c:ext>
              </c:extLst>
            </c:dLbl>
            <c:dLbl>
              <c:idx val="5"/>
              <c:layout>
                <c:manualLayout>
                  <c:x val="-1.4525835235526042E-2"/>
                  <c:y val="0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4060-4CB1-A7AA-7C36730D75F2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Лист1!$AR$25:$AU$30</c:f>
              <c:strCache>
                <c:ptCount val="6"/>
                <c:pt idx="0">
                  <c:v>Доходы федерального бюджета, % к ВВП</c:v>
                </c:pt>
                <c:pt idx="1">
                  <c:v>Расходы федерального бюджета, % к ВВП</c:v>
                </c:pt>
                <c:pt idx="2">
                  <c:v>Доля нефтегазовых доходов в доходах федерального бюджета, %</c:v>
                </c:pt>
                <c:pt idx="3">
                  <c:v>Доходы консолидированных бюджетов субъектов РФ, % к ВВП</c:v>
                </c:pt>
                <c:pt idx="4">
                  <c:v>Расходы консолидированных бюджетов субъектов РФ, % к ВВП</c:v>
                </c:pt>
                <c:pt idx="5">
                  <c:v>Доля безвозмездных поступлений в доходах консолидированных бюджетов субъектов РФ, %</c:v>
                </c:pt>
              </c:strCache>
            </c:strRef>
          </c:cat>
          <c:val>
            <c:numRef>
              <c:f>Лист1!$AV$25:$AV$30</c:f>
              <c:numCache>
                <c:formatCode>#\ ##0.000</c:formatCode>
                <c:ptCount val="6"/>
                <c:pt idx="0">
                  <c:v>0.36699999999999999</c:v>
                </c:pt>
                <c:pt idx="1">
                  <c:v>0.15</c:v>
                </c:pt>
                <c:pt idx="2">
                  <c:v>0.53333299999999995</c:v>
                </c:pt>
                <c:pt idx="3">
                  <c:v>0.91666665999999997</c:v>
                </c:pt>
                <c:pt idx="4">
                  <c:v>0.73333333000000001</c:v>
                </c:pt>
                <c:pt idx="5">
                  <c:v>0.56666666600000004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4060-4CB1-A7AA-7C36730D75F2}"/>
            </c:ext>
          </c:extLst>
        </c:ser>
        <c:ser>
          <c:idx val="4"/>
          <c:order val="1"/>
          <c:tx>
            <c:strRef>
              <c:f>Лист1!$AW$23</c:f>
              <c:strCache>
                <c:ptCount val="1"/>
                <c:pt idx="0">
                  <c:v>Индекс корреляции</c:v>
                </c:pt>
              </c:strCache>
            </c:strRef>
          </c:tx>
          <c:spPr>
            <a:solidFill>
              <a:schemeClr val="bg2">
                <a:lumMod val="75000"/>
              </a:schemeClr>
            </a:solidFill>
            <a:ln>
              <a:noFill/>
            </a:ln>
            <a:effectLst/>
          </c:spPr>
          <c:invertIfNegative val="0"/>
          <c:dPt>
            <c:idx val="0"/>
            <c:invertIfNegative val="0"/>
            <c:bubble3D val="0"/>
            <c:spPr>
              <a:solidFill>
                <a:schemeClr val="bg2">
                  <a:lumMod val="75000"/>
                </a:schemeClr>
              </a:solidFill>
              <a:ln w="19050">
                <a:solidFill>
                  <a:schemeClr val="tx1"/>
                </a:solidFill>
                <a:prstDash val="solid"/>
              </a:ln>
              <a:effectLst/>
            </c:spPr>
            <c:extLst>
              <c:ext xmlns:c16="http://schemas.microsoft.com/office/drawing/2014/chart" uri="{C3380CC4-5D6E-409C-BE32-E72D297353CC}">
                <c16:uniqueId val="{0000000B-4060-4CB1-A7AA-7C36730D75F2}"/>
              </c:ext>
            </c:extLst>
          </c:dPt>
          <c:dPt>
            <c:idx val="1"/>
            <c:invertIfNegative val="0"/>
            <c:bubble3D val="0"/>
            <c:spPr>
              <a:solidFill>
                <a:schemeClr val="bg2">
                  <a:lumMod val="75000"/>
                </a:schemeClr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D-4060-4CB1-A7AA-7C36730D75F2}"/>
              </c:ext>
            </c:extLst>
          </c:dPt>
          <c:dPt>
            <c:idx val="5"/>
            <c:invertIfNegative val="0"/>
            <c:bubble3D val="0"/>
            <c:spPr>
              <a:solidFill>
                <a:schemeClr val="bg2">
                  <a:lumMod val="75000"/>
                </a:schemeClr>
              </a:solidFill>
              <a:ln w="19050" cmpd="sng">
                <a:solidFill>
                  <a:schemeClr val="tx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F-4060-4CB1-A7AA-7C36730D75F2}"/>
              </c:ext>
            </c:extLst>
          </c:dPt>
          <c:dLbls>
            <c:dLbl>
              <c:idx val="0"/>
              <c:layout>
                <c:manualLayout>
                  <c:x val="-1.0375596596804317E-2"/>
                  <c:y val="4.9779927334867111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4060-4CB1-A7AA-7C36730D75F2}"/>
                </c:ext>
              </c:extLst>
            </c:dLbl>
            <c:dLbl>
              <c:idx val="1"/>
              <c:layout>
                <c:manualLayout>
                  <c:x val="-1.245071591616518E-2"/>
                  <c:y val="3.9193707058394702E-7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D-4060-4CB1-A7AA-7C36730D75F2}"/>
                </c:ext>
              </c:extLst>
            </c:dLbl>
            <c:dLbl>
              <c:idx val="2"/>
              <c:layout>
                <c:manualLayout>
                  <c:x val="-1.4525835235526195E-2"/>
                  <c:y val="3.9193707062957451E-7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0-4060-4CB1-A7AA-7C36730D75F2}"/>
                </c:ext>
              </c:extLst>
            </c:dLbl>
            <c:dLbl>
              <c:idx val="3"/>
              <c:layout>
                <c:manualLayout>
                  <c:x val="-1.4525835235526042E-2"/>
                  <c:y val="3.9193707058394702E-7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1-4060-4CB1-A7AA-7C36730D75F2}"/>
                </c:ext>
              </c:extLst>
            </c:dLbl>
            <c:dLbl>
              <c:idx val="4"/>
              <c:layout>
                <c:manualLayout>
                  <c:x val="-1.245071591616518E-2"/>
                  <c:y val="3.9193707058394702E-7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2-4060-4CB1-A7AA-7C36730D75F2}"/>
                </c:ext>
              </c:extLst>
            </c:dLbl>
            <c:dLbl>
              <c:idx val="5"/>
              <c:layout>
                <c:manualLayout>
                  <c:x val="-1.4525835235526042E-2"/>
                  <c:y val="-1.0497860995722088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F-4060-4CB1-A7AA-7C36730D75F2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Лист1!$AR$25:$AU$30</c:f>
              <c:strCache>
                <c:ptCount val="6"/>
                <c:pt idx="0">
                  <c:v>Доходы федерального бюджета, % к ВВП</c:v>
                </c:pt>
                <c:pt idx="1">
                  <c:v>Расходы федерального бюджета, % к ВВП</c:v>
                </c:pt>
                <c:pt idx="2">
                  <c:v>Доля нефтегазовых доходов в доходах федерального бюджета, %</c:v>
                </c:pt>
                <c:pt idx="3">
                  <c:v>Доходы консолидированных бюджетов субъектов РФ, % к ВВП</c:v>
                </c:pt>
                <c:pt idx="4">
                  <c:v>Расходы консолидированных бюджетов субъектов РФ, % к ВВП</c:v>
                </c:pt>
                <c:pt idx="5">
                  <c:v>Доля безвозмездных поступлений в доходах консолидированных бюджетов субъектов РФ, %</c:v>
                </c:pt>
              </c:strCache>
            </c:strRef>
          </c:cat>
          <c:val>
            <c:numRef>
              <c:f>Лист1!$AW$25:$AW$30</c:f>
              <c:numCache>
                <c:formatCode>#\ ##0.000</c:formatCode>
                <c:ptCount val="6"/>
                <c:pt idx="0">
                  <c:v>0.49891633737342794</c:v>
                </c:pt>
                <c:pt idx="1">
                  <c:v>0.54800000000000004</c:v>
                </c:pt>
                <c:pt idx="2">
                  <c:v>0.64200000000000002</c:v>
                </c:pt>
                <c:pt idx="3">
                  <c:v>0.86399999999999999</c:v>
                </c:pt>
                <c:pt idx="4">
                  <c:v>0.63500000000000001</c:v>
                </c:pt>
                <c:pt idx="5">
                  <c:v>0.439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3-4060-4CB1-A7AA-7C36730D75F2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82"/>
        <c:axId val="1359975583"/>
        <c:axId val="1359963935"/>
      </c:barChart>
      <c:catAx>
        <c:axId val="1359975583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5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359963935"/>
        <c:crosses val="autoZero"/>
        <c:auto val="1"/>
        <c:lblAlgn val="ctr"/>
        <c:lblOffset val="100"/>
        <c:noMultiLvlLbl val="0"/>
      </c:catAx>
      <c:valAx>
        <c:axId val="1359963935"/>
        <c:scaling>
          <c:orientation val="minMax"/>
        </c:scaling>
        <c:delete val="0"/>
        <c:axPos val="t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.00" sourceLinked="0"/>
        <c:majorTickMark val="none"/>
        <c:minorTickMark val="none"/>
        <c:tickLblPos val="high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359975583"/>
        <c:crosses val="autoZero"/>
        <c:crossBetween val="between"/>
        <c:majorUnit val="0.1"/>
        <c:minorUnit val="0.1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21472436043025225"/>
          <c:y val="0.91011393610641877"/>
          <c:w val="0.57055127913949544"/>
          <c:h val="8.9886063893581253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100"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47424837543630155"/>
          <c:y val="3.9426523297491037E-2"/>
          <c:w val="0.49215555689296264"/>
          <c:h val="0.77504394040297198"/>
        </c:manualLayout>
      </c:layout>
      <c:barChart>
        <c:barDir val="bar"/>
        <c:grouping val="clustered"/>
        <c:varyColors val="0"/>
        <c:ser>
          <c:idx val="3"/>
          <c:order val="0"/>
          <c:tx>
            <c:strRef>
              <c:f>Лист1!$AV$23</c:f>
              <c:strCache>
                <c:ptCount val="1"/>
                <c:pt idx="0">
                  <c:v>Коэффициент Спирмена</c:v>
                </c:pt>
              </c:strCache>
            </c:strRef>
          </c:tx>
          <c:spPr>
            <a:solidFill>
              <a:schemeClr val="bg2">
                <a:lumMod val="50000"/>
              </a:schemeClr>
            </a:solidFill>
            <a:ln>
              <a:noFill/>
            </a:ln>
            <a:effectLst/>
          </c:spPr>
          <c:invertIfNegative val="0"/>
          <c:dPt>
            <c:idx val="1"/>
            <c:invertIfNegative val="0"/>
            <c:bubble3D val="0"/>
            <c:spPr>
              <a:solidFill>
                <a:schemeClr val="bg2">
                  <a:lumMod val="50000"/>
                </a:schemeClr>
              </a:solidFill>
              <a:ln w="19050">
                <a:solidFill>
                  <a:schemeClr val="tx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42F2-4031-A977-A91756E4E9BB}"/>
              </c:ext>
            </c:extLst>
          </c:dPt>
          <c:dLbls>
            <c:dLbl>
              <c:idx val="0"/>
              <c:layout>
                <c:manualLayout>
                  <c:x val="-1.0375596596804317E-2"/>
                  <c:y val="1.7148206574206803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42F2-4031-A977-A91756E4E9BB}"/>
                </c:ext>
              </c:extLst>
            </c:dLbl>
            <c:dLbl>
              <c:idx val="1"/>
              <c:layout>
                <c:manualLayout>
                  <c:x val="-8.3004772774434524E-3"/>
                  <c:y val="1.1432287740254272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42F2-4031-A977-A91756E4E9BB}"/>
                </c:ext>
              </c:extLst>
            </c:dLbl>
            <c:dLbl>
              <c:idx val="2"/>
              <c:layout>
                <c:manualLayout>
                  <c:x val="-8.3004772774436051E-3"/>
                  <c:y val="1.1432287740254298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42F2-4031-A977-A91756E4E9BB}"/>
                </c:ext>
              </c:extLst>
            </c:dLbl>
            <c:dLbl>
              <c:idx val="3"/>
              <c:layout>
                <c:manualLayout>
                  <c:x val="-1.0375596596804317E-2"/>
                  <c:y val="1.1432287740254246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42F2-4031-A977-A91756E4E9BB}"/>
                </c:ext>
              </c:extLst>
            </c:dLbl>
            <c:dLbl>
              <c:idx val="4"/>
              <c:layout>
                <c:manualLayout>
                  <c:x val="-1.0375596596804317E-2"/>
                  <c:y val="1.1431837667905115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42F2-4031-A977-A91756E4E9B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Лист1!$AR$32:$AU$36</c:f>
              <c:strCache>
                <c:ptCount val="5"/>
                <c:pt idx="0">
                  <c:v>Сальдированный финансовый результат, % к ВВП</c:v>
                </c:pt>
                <c:pt idx="1">
                  <c:v>Доля убыточных организаций в их общем числе, %</c:v>
                </c:pt>
                <c:pt idx="2">
                  <c:v>Рентабельность активов, %</c:v>
                </c:pt>
                <c:pt idx="3">
                  <c:v>Рентабельность проданных товаров, %</c:v>
                </c:pt>
                <c:pt idx="4">
                  <c:v>Коэффициент автономии</c:v>
                </c:pt>
              </c:strCache>
            </c:strRef>
          </c:cat>
          <c:val>
            <c:numRef>
              <c:f>Лист1!$AV$32:$AV$36</c:f>
              <c:numCache>
                <c:formatCode>0.000</c:formatCode>
                <c:ptCount val="5"/>
                <c:pt idx="0">
                  <c:v>0.7</c:v>
                </c:pt>
                <c:pt idx="1">
                  <c:v>0.5</c:v>
                </c:pt>
                <c:pt idx="2">
                  <c:v>0.6166666666666667</c:v>
                </c:pt>
                <c:pt idx="3">
                  <c:v>0.81666666666666665</c:v>
                </c:pt>
                <c:pt idx="4">
                  <c:v>0.7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2F2-4031-A977-A91756E4E9BB}"/>
            </c:ext>
          </c:extLst>
        </c:ser>
        <c:ser>
          <c:idx val="4"/>
          <c:order val="1"/>
          <c:tx>
            <c:strRef>
              <c:f>Лист1!$AW$23</c:f>
              <c:strCache>
                <c:ptCount val="1"/>
                <c:pt idx="0">
                  <c:v>Индекс корреляции</c:v>
                </c:pt>
              </c:strCache>
            </c:strRef>
          </c:tx>
          <c:spPr>
            <a:solidFill>
              <a:schemeClr val="bg2">
                <a:lumMod val="75000"/>
              </a:schemeClr>
            </a:solid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-1.245071591616518E-2"/>
                  <c:y val="-5.7154687616034275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42F2-4031-A977-A91756E4E9BB}"/>
                </c:ext>
              </c:extLst>
            </c:dLbl>
            <c:dLbl>
              <c:idx val="1"/>
              <c:layout>
                <c:manualLayout>
                  <c:x val="-1.245071591616518E-2"/>
                  <c:y val="4.5007234913012269E-7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42F2-4031-A977-A91756E4E9BB}"/>
                </c:ext>
              </c:extLst>
            </c:dLbl>
            <c:dLbl>
              <c:idx val="2"/>
              <c:layout>
                <c:manualLayout>
                  <c:x val="-1.4525835235526042E-2"/>
                  <c:y val="-5.7154687616034275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42F2-4031-A977-A91756E4E9BB}"/>
                </c:ext>
              </c:extLst>
            </c:dLbl>
            <c:dLbl>
              <c:idx val="3"/>
              <c:layout>
                <c:manualLayout>
                  <c:x val="-1.2450715916165332E-2"/>
                  <c:y val="-5.7154687616034275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A-42F2-4031-A977-A91756E4E9BB}"/>
                </c:ext>
              </c:extLst>
            </c:dLbl>
            <c:dLbl>
              <c:idx val="4"/>
              <c:layout>
                <c:manualLayout>
                  <c:x val="-1.245071591616518E-2"/>
                  <c:y val="1.047906347387756E-16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C-42F2-4031-A977-A91756E4E9B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Лист1!$AR$32:$AU$36</c:f>
              <c:strCache>
                <c:ptCount val="5"/>
                <c:pt idx="0">
                  <c:v>Сальдированный финансовый результат, % к ВВП</c:v>
                </c:pt>
                <c:pt idx="1">
                  <c:v>Доля убыточных организаций в их общем числе, %</c:v>
                </c:pt>
                <c:pt idx="2">
                  <c:v>Рентабельность активов, %</c:v>
                </c:pt>
                <c:pt idx="3">
                  <c:v>Рентабельность проданных товаров, %</c:v>
                </c:pt>
                <c:pt idx="4">
                  <c:v>Коэффициент автономии</c:v>
                </c:pt>
              </c:strCache>
            </c:strRef>
          </c:cat>
          <c:val>
            <c:numRef>
              <c:f>Лист1!$AW$32:$AW$36</c:f>
              <c:numCache>
                <c:formatCode>#\ ##0.000</c:formatCode>
                <c:ptCount val="5"/>
                <c:pt idx="0">
                  <c:v>0.71202058332722584</c:v>
                </c:pt>
                <c:pt idx="1">
                  <c:v>0.5766323558305384</c:v>
                </c:pt>
                <c:pt idx="2">
                  <c:v>0.65744073867386843</c:v>
                </c:pt>
                <c:pt idx="3">
                  <c:v>0.88696864745035886</c:v>
                </c:pt>
                <c:pt idx="4">
                  <c:v>0.79700000000000004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2F2-4031-A977-A91756E4E9BB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82"/>
        <c:axId val="1359975583"/>
        <c:axId val="1359963935"/>
      </c:barChart>
      <c:catAx>
        <c:axId val="1359975583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5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359963935"/>
        <c:crosses val="autoZero"/>
        <c:auto val="1"/>
        <c:lblAlgn val="ctr"/>
        <c:lblOffset val="100"/>
        <c:noMultiLvlLbl val="0"/>
      </c:catAx>
      <c:valAx>
        <c:axId val="1359963935"/>
        <c:scaling>
          <c:orientation val="minMax"/>
        </c:scaling>
        <c:delete val="0"/>
        <c:axPos val="t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" sourceLinked="0"/>
        <c:majorTickMark val="none"/>
        <c:minorTickMark val="none"/>
        <c:tickLblPos val="high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359975583"/>
        <c:crosses val="autoZero"/>
        <c:crossBetween val="between"/>
        <c:majorUnit val="0.1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193849640448814"/>
          <c:y val="0.92919731846894393"/>
          <c:w val="0.64757774753150665"/>
          <c:h val="7.0802681531056122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100"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47424837543630155"/>
          <c:y val="3.9426523297491037E-2"/>
          <c:w val="0.49215555689296264"/>
          <c:h val="0.78055120664247168"/>
        </c:manualLayout>
      </c:layout>
      <c:barChart>
        <c:barDir val="bar"/>
        <c:grouping val="clustered"/>
        <c:varyColors val="0"/>
        <c:ser>
          <c:idx val="3"/>
          <c:order val="0"/>
          <c:tx>
            <c:strRef>
              <c:f>Лист1!$AV$23</c:f>
              <c:strCache>
                <c:ptCount val="1"/>
                <c:pt idx="0">
                  <c:v>Коэффициент Спирмена</c:v>
                </c:pt>
              </c:strCache>
            </c:strRef>
          </c:tx>
          <c:spPr>
            <a:solidFill>
              <a:schemeClr val="bg2">
                <a:lumMod val="50000"/>
              </a:schemeClr>
            </a:solidFill>
            <a:ln>
              <a:noFill/>
            </a:ln>
            <a:effectLst/>
          </c:spPr>
          <c:invertIfNegative val="0"/>
          <c:dPt>
            <c:idx val="1"/>
            <c:invertIfNegative val="0"/>
            <c:bubble3D val="0"/>
            <c:spPr>
              <a:solidFill>
                <a:schemeClr val="bg2">
                  <a:lumMod val="50000"/>
                </a:schemeClr>
              </a:solidFill>
              <a:ln w="19050">
                <a:solidFill>
                  <a:schemeClr val="tx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3371-49E7-AF5A-B55451764144}"/>
              </c:ext>
            </c:extLst>
          </c:dPt>
          <c:dPt>
            <c:idx val="2"/>
            <c:invertIfNegative val="0"/>
            <c:bubble3D val="0"/>
            <c:spPr>
              <a:solidFill>
                <a:schemeClr val="bg2">
                  <a:lumMod val="50000"/>
                </a:schemeClr>
              </a:solidFill>
              <a:ln w="19050">
                <a:solidFill>
                  <a:schemeClr val="tx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4-3371-49E7-AF5A-B55451764144}"/>
              </c:ext>
            </c:extLst>
          </c:dPt>
          <c:dPt>
            <c:idx val="4"/>
            <c:invertIfNegative val="0"/>
            <c:bubble3D val="0"/>
            <c:spPr>
              <a:solidFill>
                <a:schemeClr val="bg2">
                  <a:lumMod val="50000"/>
                </a:schemeClr>
              </a:solidFill>
              <a:ln w="19050">
                <a:solidFill>
                  <a:schemeClr val="tx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3371-49E7-AF5A-B55451764144}"/>
              </c:ext>
            </c:extLst>
          </c:dPt>
          <c:dLbls>
            <c:dLbl>
              <c:idx val="0"/>
              <c:layout>
                <c:manualLayout>
                  <c:x val="-1.4525835235526042E-2"/>
                  <c:y val="1.2345679012345685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3371-49E7-AF5A-B55451764144}"/>
                </c:ext>
              </c:extLst>
            </c:dLbl>
            <c:dLbl>
              <c:idx val="1"/>
              <c:layout>
                <c:manualLayout>
                  <c:x val="-1.245071591616518E-2"/>
                  <c:y val="6.1728395061728392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3371-49E7-AF5A-B55451764144}"/>
                </c:ext>
              </c:extLst>
            </c:dLbl>
            <c:dLbl>
              <c:idx val="2"/>
              <c:layout>
                <c:manualLayout>
                  <c:x val="-1.0375596596804317E-2"/>
                  <c:y val="1.2346165062700495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3371-49E7-AF5A-B55451764144}"/>
                </c:ext>
              </c:extLst>
            </c:dLbl>
            <c:dLbl>
              <c:idx val="3"/>
              <c:layout>
                <c:manualLayout>
                  <c:x val="-1.4525835235526042E-2"/>
                  <c:y val="1.2345679012345678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A-3371-49E7-AF5A-B55451764144}"/>
                </c:ext>
              </c:extLst>
            </c:dLbl>
            <c:dLbl>
              <c:idx val="4"/>
              <c:layout>
                <c:manualLayout>
                  <c:x val="-1.245071591616518E-2"/>
                  <c:y val="6.1733255565277695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3371-49E7-AF5A-B55451764144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Лист1!$AR$38:$AU$42</c:f>
              <c:strCache>
                <c:ptCount val="5"/>
                <c:pt idx="0">
                  <c:v>Капитал банков, % к ВВП</c:v>
                </c:pt>
                <c:pt idx="1">
                  <c:v>Активы банков, % к ВВП</c:v>
                </c:pt>
                <c:pt idx="2">
                  <c:v>Капитализация рынка акций ММВБ по итогам торгов на конец IV кв. соотв. года, % к ВВП</c:v>
                </c:pt>
                <c:pt idx="3">
                  <c:v>Объем рынка корпоративных долговых ценных бумаг, % к ВВП</c:v>
                </c:pt>
                <c:pt idx="4">
                  <c:v>Страховые премии, % к ВВП</c:v>
                </c:pt>
              </c:strCache>
            </c:strRef>
          </c:cat>
          <c:val>
            <c:numRef>
              <c:f>Лист1!$AV$38:$AV$42</c:f>
              <c:numCache>
                <c:formatCode>#\ ##0.000</c:formatCode>
                <c:ptCount val="5"/>
                <c:pt idx="0">
                  <c:v>0.66666666666666696</c:v>
                </c:pt>
                <c:pt idx="1">
                  <c:v>0.1</c:v>
                </c:pt>
                <c:pt idx="2">
                  <c:v>0.31666666666666665</c:v>
                </c:pt>
                <c:pt idx="3">
                  <c:v>0.8833333333333333</c:v>
                </c:pt>
                <c:pt idx="4">
                  <c:v>3.3333333333333326E-2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371-49E7-AF5A-B55451764144}"/>
            </c:ext>
          </c:extLst>
        </c:ser>
        <c:ser>
          <c:idx val="4"/>
          <c:order val="1"/>
          <c:tx>
            <c:strRef>
              <c:f>Лист1!$AW$23</c:f>
              <c:strCache>
                <c:ptCount val="1"/>
                <c:pt idx="0">
                  <c:v>Индекс корреляции</c:v>
                </c:pt>
              </c:strCache>
            </c:strRef>
          </c:tx>
          <c:spPr>
            <a:solidFill>
              <a:schemeClr val="bg2">
                <a:lumMod val="75000"/>
              </a:schemeClr>
            </a:solid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-1.4525835235526195E-2"/>
                  <c:y val="0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3371-49E7-AF5A-B55451764144}"/>
                </c:ext>
              </c:extLst>
            </c:dLbl>
            <c:dLbl>
              <c:idx val="1"/>
              <c:layout>
                <c:manualLayout>
                  <c:x val="-1.4525835235526042E-2"/>
                  <c:y val="2.829185424004443E-17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3371-49E7-AF5A-B55451764144}"/>
                </c:ext>
              </c:extLst>
            </c:dLbl>
            <c:dLbl>
              <c:idx val="2"/>
              <c:layout>
                <c:manualLayout>
                  <c:x val="-1.4525835235526042E-2"/>
                  <c:y val="5.658370848008886E-17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3371-49E7-AF5A-B55451764144}"/>
                </c:ext>
              </c:extLst>
            </c:dLbl>
            <c:dLbl>
              <c:idx val="3"/>
              <c:layout>
                <c:manualLayout>
                  <c:x val="-1.4525835235526042E-2"/>
                  <c:y val="-6.1723534558180224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3371-49E7-AF5A-B55451764144}"/>
                </c:ext>
              </c:extLst>
            </c:dLbl>
            <c:dLbl>
              <c:idx val="4"/>
              <c:layout>
                <c:manualLayout>
                  <c:x val="-1.4525835235526042E-2"/>
                  <c:y val="0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C-3371-49E7-AF5A-B55451764144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Лист1!$AR$38:$AU$42</c:f>
              <c:strCache>
                <c:ptCount val="5"/>
                <c:pt idx="0">
                  <c:v>Капитал банков, % к ВВП</c:v>
                </c:pt>
                <c:pt idx="1">
                  <c:v>Активы банков, % к ВВП</c:v>
                </c:pt>
                <c:pt idx="2">
                  <c:v>Капитализация рынка акций ММВБ по итогам торгов на конец IV кв. соотв. года, % к ВВП</c:v>
                </c:pt>
                <c:pt idx="3">
                  <c:v>Объем рынка корпоративных долговых ценных бумаг, % к ВВП</c:v>
                </c:pt>
                <c:pt idx="4">
                  <c:v>Страховые премии, % к ВВП</c:v>
                </c:pt>
              </c:strCache>
            </c:strRef>
          </c:cat>
          <c:val>
            <c:numRef>
              <c:f>Лист1!$AW$38:$AW$42</c:f>
              <c:numCache>
                <c:formatCode>#\ ##0.000</c:formatCode>
                <c:ptCount val="5"/>
                <c:pt idx="0">
                  <c:v>0.82099999999999995</c:v>
                </c:pt>
                <c:pt idx="1">
                  <c:v>0.54100000000000004</c:v>
                </c:pt>
                <c:pt idx="2">
                  <c:v>0.71</c:v>
                </c:pt>
                <c:pt idx="3">
                  <c:v>0.90900000000000003</c:v>
                </c:pt>
                <c:pt idx="4">
                  <c:v>0.88200000000000001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3371-49E7-AF5A-B55451764144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82"/>
        <c:axId val="1359975583"/>
        <c:axId val="1359963935"/>
      </c:barChart>
      <c:catAx>
        <c:axId val="1359975583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5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359963935"/>
        <c:crosses val="autoZero"/>
        <c:auto val="1"/>
        <c:lblAlgn val="ctr"/>
        <c:lblOffset val="100"/>
        <c:noMultiLvlLbl val="0"/>
      </c:catAx>
      <c:valAx>
        <c:axId val="1359963935"/>
        <c:scaling>
          <c:orientation val="minMax"/>
        </c:scaling>
        <c:delete val="0"/>
        <c:axPos val="t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.00" sourceLinked="0"/>
        <c:majorTickMark val="none"/>
        <c:minorTickMark val="none"/>
        <c:tickLblPos val="high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359975583"/>
        <c:crosses val="autoZero"/>
        <c:crossBetween val="between"/>
        <c:majorUnit val="0.1"/>
        <c:minorUnit val="0.1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21472436043025225"/>
          <c:y val="0.92297592771327508"/>
          <c:w val="0.57055127913949544"/>
          <c:h val="7.7024072286724921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100"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47424837543630155"/>
          <c:y val="3.9426523297491037E-2"/>
          <c:w val="0.49215555689296264"/>
          <c:h val="0.8085584708271889"/>
        </c:manualLayout>
      </c:layout>
      <c:barChart>
        <c:barDir val="bar"/>
        <c:grouping val="clustered"/>
        <c:varyColors val="0"/>
        <c:ser>
          <c:idx val="3"/>
          <c:order val="0"/>
          <c:tx>
            <c:strRef>
              <c:f>Лист1!$AV$23</c:f>
              <c:strCache>
                <c:ptCount val="1"/>
                <c:pt idx="0">
                  <c:v>Коэффициент Спирмена</c:v>
                </c:pt>
              </c:strCache>
            </c:strRef>
          </c:tx>
          <c:spPr>
            <a:solidFill>
              <a:schemeClr val="bg2">
                <a:lumMod val="50000"/>
              </a:schemeClr>
            </a:solidFill>
            <a:ln>
              <a:noFill/>
            </a:ln>
            <a:effectLst/>
          </c:spPr>
          <c:invertIfNegative val="0"/>
          <c:dPt>
            <c:idx val="3"/>
            <c:invertIfNegative val="0"/>
            <c:bubble3D val="0"/>
            <c:spPr>
              <a:solidFill>
                <a:schemeClr val="bg2">
                  <a:lumMod val="50000"/>
                </a:schemeClr>
              </a:solidFill>
              <a:ln w="19050">
                <a:solidFill>
                  <a:schemeClr val="tx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9-3569-4BBF-AEF5-4DEBD267040A}"/>
              </c:ext>
            </c:extLst>
          </c:dPt>
          <c:dLbls>
            <c:dLbl>
              <c:idx val="0"/>
              <c:layout>
                <c:manualLayout>
                  <c:x val="-1.2450715916165332E-2"/>
                  <c:y val="1.673173452314556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3569-4BBF-AEF5-4DEBD267040A}"/>
                </c:ext>
              </c:extLst>
            </c:dLbl>
            <c:dLbl>
              <c:idx val="1"/>
              <c:layout>
                <c:manualLayout>
                  <c:x val="-1.0375596596804317E-2"/>
                  <c:y val="1.6732173676282682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3569-4BBF-AEF5-4DEBD267040A}"/>
                </c:ext>
              </c:extLst>
            </c:dLbl>
            <c:dLbl>
              <c:idx val="2"/>
              <c:layout>
                <c:manualLayout>
                  <c:x val="-1.4525835235526195E-2"/>
                  <c:y val="1.1154928835234135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3569-4BBF-AEF5-4DEBD267040A}"/>
                </c:ext>
              </c:extLst>
            </c:dLbl>
            <c:dLbl>
              <c:idx val="3"/>
              <c:layout>
                <c:manualLayout>
                  <c:x val="-1.4525835235526042E-2"/>
                  <c:y val="2.2312492589290862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3569-4BBF-AEF5-4DEBD267040A}"/>
                </c:ext>
              </c:extLst>
            </c:dLbl>
            <c:dLbl>
              <c:idx val="4"/>
              <c:layout>
                <c:manualLayout>
                  <c:x val="-1.4525835235526195E-2"/>
                  <c:y val="1.1154489682097044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3569-4BBF-AEF5-4DEBD267040A}"/>
                </c:ext>
              </c:extLst>
            </c:dLbl>
            <c:dLbl>
              <c:idx val="5"/>
              <c:layout>
                <c:manualLayout>
                  <c:x val="-1.6600954554886905E-2"/>
                  <c:y val="1.1154928835234237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D-3569-4BBF-AEF5-4DEBD267040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Лист1!$AR$44:$AU$49</c:f>
              <c:strCache>
                <c:ptCount val="6"/>
                <c:pt idx="0">
                  <c:v>Денежные доходы населения, % к ВВП</c:v>
                </c:pt>
                <c:pt idx="1">
                  <c:v>Реальные располагаемые доходы населения, % к предыдущему году</c:v>
                </c:pt>
                <c:pt idx="2">
                  <c:v>Расходы населения на конечное потребление, % к ВВП</c:v>
                </c:pt>
                <c:pt idx="3">
                  <c:v>Прирост сбережений населения, % к предыдущему году</c:v>
                </c:pt>
                <c:pt idx="4">
                  <c:v>Децильный коэффициент фондов</c:v>
                </c:pt>
                <c:pt idx="5">
                  <c:v>Коэффициент Джини</c:v>
                </c:pt>
              </c:strCache>
            </c:strRef>
          </c:cat>
          <c:val>
            <c:numRef>
              <c:f>Лист1!$AV$44:$AV$49</c:f>
              <c:numCache>
                <c:formatCode>0.000</c:formatCode>
                <c:ptCount val="6"/>
                <c:pt idx="0">
                  <c:v>0.85714285714285698</c:v>
                </c:pt>
                <c:pt idx="1">
                  <c:v>0.61904761904761907</c:v>
                </c:pt>
                <c:pt idx="2" formatCode="#\ ##0.000">
                  <c:v>0.9</c:v>
                </c:pt>
                <c:pt idx="3" formatCode="#\ ##0.000">
                  <c:v>1.6666666666666718E-2</c:v>
                </c:pt>
                <c:pt idx="4" formatCode="#\ ##0.000">
                  <c:v>0.68333333333333302</c:v>
                </c:pt>
                <c:pt idx="5" formatCode="#\ ##0.000">
                  <c:v>0.76666666666666705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569-4BBF-AEF5-4DEBD267040A}"/>
            </c:ext>
          </c:extLst>
        </c:ser>
        <c:ser>
          <c:idx val="4"/>
          <c:order val="1"/>
          <c:tx>
            <c:strRef>
              <c:f>Лист1!$AW$23</c:f>
              <c:strCache>
                <c:ptCount val="1"/>
                <c:pt idx="0">
                  <c:v>Индекс корреляции</c:v>
                </c:pt>
              </c:strCache>
            </c:strRef>
          </c:tx>
          <c:spPr>
            <a:solidFill>
              <a:schemeClr val="bg2">
                <a:lumMod val="75000"/>
              </a:schemeClr>
            </a:solidFill>
            <a:ln>
              <a:noFill/>
            </a:ln>
            <a:effectLst/>
          </c:spPr>
          <c:invertIfNegative val="0"/>
          <c:dPt>
            <c:idx val="3"/>
            <c:invertIfNegative val="0"/>
            <c:bubble3D val="0"/>
            <c:spPr>
              <a:solidFill>
                <a:schemeClr val="bg2">
                  <a:lumMod val="75000"/>
                </a:schemeClr>
              </a:solidFill>
              <a:ln w="19050">
                <a:solidFill>
                  <a:schemeClr val="tx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A-3569-4BBF-AEF5-4DEBD267040A}"/>
              </c:ext>
            </c:extLst>
          </c:dPt>
          <c:dLbls>
            <c:dLbl>
              <c:idx val="0"/>
              <c:layout>
                <c:manualLayout>
                  <c:x val="-1.4525835235526195E-2"/>
                  <c:y val="4.3915313709043481E-7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3569-4BBF-AEF5-4DEBD267040A}"/>
                </c:ext>
              </c:extLst>
            </c:dLbl>
            <c:dLbl>
              <c:idx val="1"/>
              <c:layout>
                <c:manualLayout>
                  <c:x val="-1.6600954554886905E-2"/>
                  <c:y val="5.5781231473227286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3569-4BBF-AEF5-4DEBD267040A}"/>
                </c:ext>
              </c:extLst>
            </c:dLbl>
            <c:dLbl>
              <c:idx val="2"/>
              <c:layout>
                <c:manualLayout>
                  <c:x val="-1.4525835235526042E-2"/>
                  <c:y val="-5.5768056879114316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3569-4BBF-AEF5-4DEBD267040A}"/>
                </c:ext>
              </c:extLst>
            </c:dLbl>
            <c:dLbl>
              <c:idx val="3"/>
              <c:layout>
                <c:manualLayout>
                  <c:x val="-1.4525835235526119E-2"/>
                  <c:y val="4.3915313709043481E-7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A-3569-4BBF-AEF5-4DEBD267040A}"/>
                </c:ext>
              </c:extLst>
            </c:dLbl>
            <c:dLbl>
              <c:idx val="4"/>
              <c:layout>
                <c:manualLayout>
                  <c:x val="-1.4525835235526042E-2"/>
                  <c:y val="0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C-3569-4BBF-AEF5-4DEBD267040A}"/>
                </c:ext>
              </c:extLst>
            </c:dLbl>
            <c:dLbl>
              <c:idx val="5"/>
              <c:layout>
                <c:manualLayout>
                  <c:x val="-1.4525835235526042E-2"/>
                  <c:y val="4.3915313719268312E-7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E-3569-4BBF-AEF5-4DEBD267040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Лист1!$AR$44:$AU$49</c:f>
              <c:strCache>
                <c:ptCount val="6"/>
                <c:pt idx="0">
                  <c:v>Денежные доходы населения, % к ВВП</c:v>
                </c:pt>
                <c:pt idx="1">
                  <c:v>Реальные располагаемые доходы населения, % к предыдущему году</c:v>
                </c:pt>
                <c:pt idx="2">
                  <c:v>Расходы населения на конечное потребление, % к ВВП</c:v>
                </c:pt>
                <c:pt idx="3">
                  <c:v>Прирост сбережений населения, % к предыдущему году</c:v>
                </c:pt>
                <c:pt idx="4">
                  <c:v>Децильный коэффициент фондов</c:v>
                </c:pt>
                <c:pt idx="5">
                  <c:v>Коэффициент Джини</c:v>
                </c:pt>
              </c:strCache>
            </c:strRef>
          </c:cat>
          <c:val>
            <c:numRef>
              <c:f>Лист1!$AW$44:$AW$49</c:f>
              <c:numCache>
                <c:formatCode>#\ ##0.000</c:formatCode>
                <c:ptCount val="6"/>
                <c:pt idx="0">
                  <c:v>0.88500000000000001</c:v>
                </c:pt>
                <c:pt idx="1">
                  <c:v>0.78900000000000003</c:v>
                </c:pt>
                <c:pt idx="2">
                  <c:v>0.92900000000000005</c:v>
                </c:pt>
                <c:pt idx="3">
                  <c:v>0.13800000000000001</c:v>
                </c:pt>
                <c:pt idx="4">
                  <c:v>0.85899999999999999</c:v>
                </c:pt>
                <c:pt idx="5">
                  <c:v>0.86399999999999999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3569-4BBF-AEF5-4DEBD267040A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82"/>
        <c:axId val="1359975583"/>
        <c:axId val="1359963935"/>
      </c:barChart>
      <c:catAx>
        <c:axId val="1359975583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5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359963935"/>
        <c:crosses val="autoZero"/>
        <c:auto val="1"/>
        <c:lblAlgn val="ctr"/>
        <c:lblOffset val="100"/>
        <c:noMultiLvlLbl val="0"/>
      </c:catAx>
      <c:valAx>
        <c:axId val="1359963935"/>
        <c:scaling>
          <c:orientation val="minMax"/>
        </c:scaling>
        <c:delete val="0"/>
        <c:axPos val="t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" sourceLinked="0"/>
        <c:majorTickMark val="none"/>
        <c:minorTickMark val="none"/>
        <c:tickLblPos val="high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359975583"/>
        <c:crosses val="autoZero"/>
        <c:crossBetween val="between"/>
        <c:majorUnit val="0.1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21472436043025225"/>
          <c:y val="0.93487567587620468"/>
          <c:w val="0.57055127913949544"/>
          <c:h val="6.5124324123795471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100"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6</Pages>
  <Words>2180</Words>
  <Characters>12432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Михайлов Владислав Валерьевич</dc:creator>
  <cp:keywords/>
  <dc:description/>
  <cp:lastModifiedBy>Михайлов Владислав Валерьевич</cp:lastModifiedBy>
  <cp:revision>8</cp:revision>
  <dcterms:created xsi:type="dcterms:W3CDTF">2024-05-06T18:21:00Z</dcterms:created>
  <dcterms:modified xsi:type="dcterms:W3CDTF">2024-05-12T16:14:00Z</dcterms:modified>
</cp:coreProperties>
</file>