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1917" w14:textId="77777777" w:rsidR="006D6890" w:rsidRPr="00055772" w:rsidRDefault="006D6890" w:rsidP="006D6890">
      <w:pPr>
        <w:widowControl w:val="0"/>
        <w:shd w:val="clear" w:color="auto" w:fill="FFFFFF"/>
        <w:spacing w:after="0" w:line="240" w:lineRule="auto"/>
        <w:ind w:firstLine="709"/>
        <w:jc w:val="right"/>
        <w:outlineLvl w:val="0"/>
        <w:rPr>
          <w:rFonts w:ascii="Times New Roman" w:eastAsia="Calibri" w:hAnsi="Times New Roman" w:cs="Times New Roman"/>
          <w:b/>
          <w:bCs/>
          <w:caps/>
          <w:spacing w:val="-7"/>
          <w:sz w:val="24"/>
          <w:szCs w:val="24"/>
        </w:rPr>
      </w:pPr>
      <w:bookmarkStart w:id="0" w:name="_Toc76714064"/>
      <w:r w:rsidRPr="00055772">
        <w:rPr>
          <w:rFonts w:ascii="Times New Roman" w:eastAsia="Calibri" w:hAnsi="Times New Roman" w:cs="Times New Roman"/>
          <w:b/>
          <w:bCs/>
          <w:spacing w:val="-7"/>
          <w:sz w:val="24"/>
          <w:szCs w:val="24"/>
          <w:lang w:eastAsia="ru-RU"/>
        </w:rPr>
        <w:t>Копытова Е.Д.</w:t>
      </w:r>
      <w:r w:rsidRPr="00055772">
        <w:rPr>
          <w:rFonts w:ascii="Times New Roman" w:eastAsia="Calibri" w:hAnsi="Times New Roman" w:cs="Times New Roman"/>
          <w:b/>
          <w:bCs/>
          <w:caps/>
          <w:spacing w:val="-7"/>
          <w:sz w:val="24"/>
          <w:szCs w:val="24"/>
          <w:vertAlign w:val="superscript"/>
        </w:rPr>
        <w:footnoteReference w:customMarkFollows="1" w:id="1"/>
        <w:t>1</w:t>
      </w:r>
      <w:bookmarkEnd w:id="0"/>
    </w:p>
    <w:p w14:paraId="37473AC2" w14:textId="77777777" w:rsidR="006D6890" w:rsidRPr="00055772" w:rsidRDefault="006D6890" w:rsidP="006D6890">
      <w:pPr>
        <w:spacing w:after="0" w:line="240" w:lineRule="auto"/>
        <w:ind w:firstLine="709"/>
        <w:jc w:val="right"/>
        <w:rPr>
          <w:rFonts w:ascii="Times New Roman" w:eastAsia="Calibri" w:hAnsi="Times New Roman" w:cs="Times New Roman"/>
          <w:b/>
          <w:sz w:val="24"/>
          <w:szCs w:val="24"/>
        </w:rPr>
      </w:pPr>
    </w:p>
    <w:p w14:paraId="5F172ECE" w14:textId="1833FD3D" w:rsidR="00341DD8" w:rsidRPr="00055772" w:rsidRDefault="00341DD8" w:rsidP="006D6890">
      <w:pPr>
        <w:keepNext/>
        <w:keepLines/>
        <w:spacing w:after="0" w:line="360" w:lineRule="auto"/>
        <w:ind w:firstLine="709"/>
        <w:jc w:val="center"/>
        <w:outlineLvl w:val="0"/>
        <w:rPr>
          <w:rFonts w:ascii="Times New Roman" w:eastAsia="Times New Roman" w:hAnsi="Times New Roman" w:cs="Times New Roman"/>
          <w:b/>
          <w:snapToGrid w:val="0"/>
          <w:sz w:val="24"/>
          <w:szCs w:val="24"/>
          <w:lang w:eastAsia="ru-RU"/>
        </w:rPr>
      </w:pPr>
      <w:r w:rsidRPr="00055772">
        <w:rPr>
          <w:rFonts w:ascii="Times New Roman" w:eastAsia="Times New Roman" w:hAnsi="Times New Roman" w:cs="Times New Roman"/>
          <w:b/>
          <w:snapToGrid w:val="0"/>
          <w:sz w:val="24"/>
          <w:szCs w:val="24"/>
          <w:lang w:eastAsia="ru-RU"/>
        </w:rPr>
        <w:t>Производственно-экономические связи</w:t>
      </w:r>
      <w:r w:rsidRPr="00055772">
        <w:t xml:space="preserve"> </w:t>
      </w:r>
      <w:r w:rsidRPr="00055772">
        <w:rPr>
          <w:rFonts w:ascii="Times New Roman" w:eastAsia="Times New Roman" w:hAnsi="Times New Roman" w:cs="Times New Roman"/>
          <w:b/>
          <w:snapToGrid w:val="0"/>
          <w:sz w:val="24"/>
          <w:szCs w:val="24"/>
          <w:lang w:eastAsia="ru-RU"/>
        </w:rPr>
        <w:t>между</w:t>
      </w:r>
      <w:r w:rsidRPr="00055772">
        <w:t xml:space="preserve"> </w:t>
      </w:r>
      <w:r w:rsidRPr="00055772">
        <w:rPr>
          <w:rFonts w:ascii="Times New Roman" w:eastAsia="Times New Roman" w:hAnsi="Times New Roman" w:cs="Times New Roman"/>
          <w:b/>
          <w:snapToGrid w:val="0"/>
          <w:sz w:val="24"/>
          <w:szCs w:val="24"/>
          <w:lang w:eastAsia="ru-RU"/>
        </w:rPr>
        <w:t>элементами социально-экономического пространства региона</w:t>
      </w:r>
      <w:r w:rsidR="00E825D3" w:rsidRPr="00055772">
        <w:rPr>
          <w:rFonts w:ascii="Times New Roman" w:eastAsia="Times New Roman" w:hAnsi="Times New Roman" w:cs="Times New Roman"/>
          <w:b/>
          <w:snapToGrid w:val="0"/>
          <w:sz w:val="24"/>
          <w:szCs w:val="24"/>
          <w:lang w:eastAsia="ru-RU"/>
        </w:rPr>
        <w:t>: исторический аспект</w:t>
      </w:r>
    </w:p>
    <w:p w14:paraId="1F75F633" w14:textId="77777777" w:rsidR="000D55B5" w:rsidRPr="00055772" w:rsidRDefault="000D55B5" w:rsidP="006D6890">
      <w:pPr>
        <w:spacing w:after="0" w:line="240" w:lineRule="auto"/>
        <w:ind w:firstLine="425"/>
        <w:jc w:val="both"/>
        <w:rPr>
          <w:rFonts w:ascii="Times New Roman" w:eastAsia="Calibri" w:hAnsi="Times New Roman" w:cs="Times New Roman"/>
          <w:bCs/>
          <w:sz w:val="24"/>
          <w:szCs w:val="24"/>
        </w:rPr>
      </w:pPr>
    </w:p>
    <w:p w14:paraId="12D97332" w14:textId="2A0F06EE" w:rsidR="00C000CE" w:rsidRPr="00055772" w:rsidRDefault="006D6890" w:rsidP="00C000CE">
      <w:pPr>
        <w:spacing w:after="0" w:line="240" w:lineRule="auto"/>
        <w:ind w:firstLine="425"/>
        <w:jc w:val="both"/>
        <w:rPr>
          <w:rFonts w:ascii="Times New Roman" w:eastAsia="Calibri" w:hAnsi="Times New Roman" w:cs="Times New Roman"/>
          <w:i/>
          <w:sz w:val="24"/>
          <w:szCs w:val="24"/>
        </w:rPr>
      </w:pPr>
      <w:r w:rsidRPr="00055772">
        <w:rPr>
          <w:rFonts w:ascii="Times New Roman" w:eastAsia="Calibri" w:hAnsi="Times New Roman" w:cs="Times New Roman"/>
          <w:b/>
          <w:bCs/>
          <w:iCs/>
          <w:sz w:val="24"/>
          <w:szCs w:val="24"/>
        </w:rPr>
        <w:t>Аннотация:</w:t>
      </w:r>
      <w:r w:rsidRPr="00055772">
        <w:rPr>
          <w:rFonts w:ascii="Times New Roman" w:eastAsia="Calibri" w:hAnsi="Times New Roman" w:cs="Times New Roman"/>
          <w:i/>
          <w:sz w:val="24"/>
          <w:szCs w:val="24"/>
        </w:rPr>
        <w:t xml:space="preserve"> </w:t>
      </w:r>
      <w:r w:rsidR="00C000CE" w:rsidRPr="00055772">
        <w:rPr>
          <w:rFonts w:ascii="Times New Roman" w:eastAsia="Calibri" w:hAnsi="Times New Roman" w:cs="Times New Roman"/>
          <w:i/>
          <w:sz w:val="24"/>
          <w:szCs w:val="24"/>
        </w:rPr>
        <w:t xml:space="preserve">Актуальной задачей социально-экономического развития России является преодоление различий в уровне жизни между </w:t>
      </w:r>
      <w:r w:rsidR="00347C5E" w:rsidRPr="00055772">
        <w:rPr>
          <w:rFonts w:ascii="Times New Roman" w:eastAsia="Calibri" w:hAnsi="Times New Roman" w:cs="Times New Roman"/>
          <w:i/>
          <w:sz w:val="24"/>
          <w:szCs w:val="24"/>
        </w:rPr>
        <w:t xml:space="preserve">крупным/малым </w:t>
      </w:r>
      <w:r w:rsidR="00C000CE" w:rsidRPr="00055772">
        <w:rPr>
          <w:rFonts w:ascii="Times New Roman" w:eastAsia="Calibri" w:hAnsi="Times New Roman" w:cs="Times New Roman"/>
          <w:i/>
          <w:sz w:val="24"/>
          <w:szCs w:val="24"/>
        </w:rPr>
        <w:t>городом и селом</w:t>
      </w:r>
      <w:r w:rsidR="00347C5E" w:rsidRPr="00055772">
        <w:rPr>
          <w:rFonts w:ascii="Times New Roman" w:eastAsia="Calibri" w:hAnsi="Times New Roman" w:cs="Times New Roman"/>
          <w:i/>
          <w:sz w:val="24"/>
          <w:szCs w:val="24"/>
        </w:rPr>
        <w:t>. В статье исследован исторический аспект развития производственно-экономических связей между элементами социально-экономического пространства региона.</w:t>
      </w:r>
    </w:p>
    <w:p w14:paraId="7097018C" w14:textId="3AC6585B" w:rsidR="00A25484" w:rsidRPr="00055772" w:rsidRDefault="006D6890" w:rsidP="006D6890">
      <w:pPr>
        <w:spacing w:after="0" w:line="240" w:lineRule="auto"/>
        <w:ind w:firstLine="425"/>
        <w:jc w:val="both"/>
        <w:rPr>
          <w:rFonts w:ascii="Times New Roman" w:eastAsia="Calibri" w:hAnsi="Times New Roman" w:cs="Times New Roman"/>
          <w:i/>
          <w:sz w:val="24"/>
          <w:szCs w:val="24"/>
        </w:rPr>
      </w:pPr>
      <w:r w:rsidRPr="00055772">
        <w:rPr>
          <w:rFonts w:ascii="Times New Roman" w:eastAsia="Calibri" w:hAnsi="Times New Roman" w:cs="Times New Roman"/>
          <w:b/>
          <w:bCs/>
          <w:iCs/>
          <w:sz w:val="24"/>
          <w:szCs w:val="24"/>
        </w:rPr>
        <w:t>Ключевые слова:</w:t>
      </w:r>
      <w:r w:rsidRPr="00055772">
        <w:rPr>
          <w:rFonts w:ascii="Times New Roman" w:eastAsia="Calibri" w:hAnsi="Times New Roman" w:cs="Times New Roman"/>
          <w:i/>
          <w:sz w:val="24"/>
          <w:szCs w:val="24"/>
        </w:rPr>
        <w:t xml:space="preserve"> </w:t>
      </w:r>
      <w:r w:rsidR="00A25484" w:rsidRPr="00055772">
        <w:rPr>
          <w:rFonts w:ascii="Times New Roman" w:eastAsia="Calibri" w:hAnsi="Times New Roman" w:cs="Times New Roman"/>
          <w:i/>
          <w:sz w:val="24"/>
          <w:szCs w:val="24"/>
        </w:rPr>
        <w:t>экономическое пространство, связи, крупный город, малый город, село.</w:t>
      </w:r>
    </w:p>
    <w:p w14:paraId="40AF3BA8" w14:textId="77777777" w:rsidR="006D6890" w:rsidRPr="00055772" w:rsidRDefault="006D6890" w:rsidP="006D6890">
      <w:pPr>
        <w:spacing w:after="0" w:line="240" w:lineRule="auto"/>
        <w:contextualSpacing/>
        <w:jc w:val="both"/>
        <w:rPr>
          <w:rFonts w:ascii="Times New Roman" w:hAnsi="Times New Roman" w:cs="Times New Roman"/>
          <w:sz w:val="24"/>
          <w:szCs w:val="24"/>
        </w:rPr>
      </w:pPr>
    </w:p>
    <w:p w14:paraId="77F8F25F" w14:textId="77777777" w:rsidR="002D5756" w:rsidRPr="00055772" w:rsidRDefault="002D5756" w:rsidP="009D0D95">
      <w:pPr>
        <w:spacing w:after="0" w:line="240" w:lineRule="auto"/>
        <w:ind w:firstLine="709"/>
        <w:contextualSpacing/>
        <w:jc w:val="both"/>
        <w:rPr>
          <w:rFonts w:ascii="Times New Roman" w:hAnsi="Times New Roman" w:cs="Times New Roman"/>
          <w:sz w:val="24"/>
          <w:szCs w:val="24"/>
        </w:rPr>
      </w:pPr>
      <w:r w:rsidRPr="00055772">
        <w:rPr>
          <w:rFonts w:ascii="Times New Roman" w:hAnsi="Times New Roman" w:cs="Times New Roman"/>
          <w:sz w:val="24"/>
          <w:szCs w:val="24"/>
        </w:rPr>
        <w:t>Неоднородность социально-экономического пространства выступает одной из немаловажных причин замедления развития регионов. Многие территории Российской Федерации обладают существенным производственным и ресурсным потенциалом, однако их возможности используются не полностью. Среди факторов сложившейся ситуации можно выделить и низкую развитость связей внутри и между территориями. Создание таких связей приведет к формированию единого экономического пространства территории, что позволит регионам увеличить объемы воспроизводства и экспорта продукции.</w:t>
      </w:r>
    </w:p>
    <w:p w14:paraId="3D25BBD9" w14:textId="31DAA05E" w:rsidR="002D5756"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 xml:space="preserve">Опыт СССР в проектировании городов в контексте сохранения связей </w:t>
      </w:r>
      <w:r w:rsidR="00B34755" w:rsidRPr="00055772">
        <w:rPr>
          <w:rFonts w:ascii="Times New Roman" w:hAnsi="Times New Roman" w:cs="Times New Roman"/>
          <w:kern w:val="2"/>
          <w:sz w:val="24"/>
          <w:szCs w:val="24"/>
          <w14:ligatures w14:val="standardContextual"/>
        </w:rPr>
        <w:t xml:space="preserve">между </w:t>
      </w:r>
      <w:r w:rsidRPr="00055772">
        <w:rPr>
          <w:rFonts w:ascii="Times New Roman" w:hAnsi="Times New Roman" w:cs="Times New Roman"/>
          <w:kern w:val="2"/>
          <w:sz w:val="24"/>
          <w:szCs w:val="24"/>
          <w14:ligatures w14:val="standardContextual"/>
        </w:rPr>
        <w:t>элементами социально-экономического пространства региона заключался в следующем</w:t>
      </w:r>
      <w:r w:rsidR="00D47739" w:rsidRPr="00055772">
        <w:rPr>
          <w:rFonts w:ascii="Times New Roman" w:hAnsi="Times New Roman" w:cs="Times New Roman"/>
          <w:kern w:val="2"/>
          <w:sz w:val="24"/>
          <w:szCs w:val="24"/>
          <w14:ligatures w14:val="standardContextual"/>
        </w:rPr>
        <w:t xml:space="preserve"> [</w:t>
      </w:r>
      <w:r w:rsidR="00055772" w:rsidRPr="00055772">
        <w:rPr>
          <w:rFonts w:ascii="Times New Roman" w:hAnsi="Times New Roman" w:cs="Times New Roman"/>
          <w:kern w:val="2"/>
          <w:sz w:val="24"/>
          <w:szCs w:val="24"/>
          <w14:ligatures w14:val="standardContextual"/>
        </w:rPr>
        <w:t>2</w:t>
      </w:r>
      <w:r w:rsidR="00B34755" w:rsidRPr="00055772">
        <w:rPr>
          <w:rFonts w:ascii="Times New Roman" w:hAnsi="Times New Roman" w:cs="Times New Roman"/>
          <w:kern w:val="2"/>
          <w:sz w:val="24"/>
          <w:szCs w:val="24"/>
          <w14:ligatures w14:val="standardContextual"/>
        </w:rPr>
        <w:t>, с.</w:t>
      </w:r>
      <w:r w:rsidR="007C5DE0" w:rsidRPr="00055772">
        <w:rPr>
          <w:rFonts w:ascii="Times New Roman" w:hAnsi="Times New Roman" w:cs="Times New Roman"/>
          <w:kern w:val="2"/>
          <w:sz w:val="24"/>
          <w:szCs w:val="24"/>
          <w14:ligatures w14:val="standardContextual"/>
        </w:rPr>
        <w:t xml:space="preserve"> 1</w:t>
      </w:r>
      <w:r w:rsidR="00B34755" w:rsidRPr="00055772">
        <w:rPr>
          <w:rFonts w:ascii="Times New Roman" w:hAnsi="Times New Roman" w:cs="Times New Roman"/>
          <w:kern w:val="2"/>
          <w:sz w:val="24"/>
          <w:szCs w:val="24"/>
          <w14:ligatures w14:val="standardContextual"/>
        </w:rPr>
        <w:t>9</w:t>
      </w:r>
      <w:r w:rsidR="00D47739" w:rsidRPr="00055772">
        <w:rPr>
          <w:rFonts w:ascii="Times New Roman" w:hAnsi="Times New Roman" w:cs="Times New Roman"/>
          <w:kern w:val="2"/>
          <w:sz w:val="24"/>
          <w:szCs w:val="24"/>
          <w14:ligatures w14:val="standardContextual"/>
        </w:rPr>
        <w:t>]</w:t>
      </w:r>
      <w:r w:rsidRPr="00055772">
        <w:rPr>
          <w:rFonts w:ascii="Times New Roman" w:hAnsi="Times New Roman" w:cs="Times New Roman"/>
          <w:kern w:val="2"/>
          <w:sz w:val="24"/>
          <w:szCs w:val="24"/>
          <w14:ligatures w14:val="standardContextual"/>
        </w:rPr>
        <w:t>:</w:t>
      </w:r>
    </w:p>
    <w:p w14:paraId="6BA437F1" w14:textId="77777777" w:rsidR="002D5756"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1. Координация пространственно-планировочной структуры крупного города-центра, отдельных населенных мест, узлов системы с общей структурой взаимосвязанного расселения связана с ориентацией на новые градостроительные акценты в планировочной организации населенных мест и их систем.</w:t>
      </w:r>
    </w:p>
    <w:p w14:paraId="1602F6AA" w14:textId="258CC586" w:rsidR="002D5756"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 xml:space="preserve">2. Основу структурно-планировочного регулирования развития крупных городов составлял курс на всеобъемлющее стимулирование функциональных качеств сети населенных мест на всех ее уровнях в целом. </w:t>
      </w:r>
    </w:p>
    <w:p w14:paraId="0ABD90A2" w14:textId="248277CE" w:rsidR="002D5756"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3. Реорганизация структуры связей поселений тяготеющей к крупному городу территории групповой системы должна была быть направлена на выявление возможностей снижения объемов нерациональных общесистемных передвижений и одновременно на локализацию и упорядочение местных связей в пределах определенных структурно-планировочных подзон системы расселения.</w:t>
      </w:r>
    </w:p>
    <w:p w14:paraId="03445C51" w14:textId="77777777" w:rsidR="00B34755"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 xml:space="preserve">На уровне планировочного района зона размещения центра предусматривалась в его срединной части, поддерживая его поляризующие качества максимальным развитием местной тангенциальной сети связей и обеспечением удобных коммуникаций между различными функциональными зонами района. С позиций формирования сбалансированной общегородской структуры связей учитывалась целесообразность частичного смещения такого центра в так называемые межрадиальные зоны города. </w:t>
      </w:r>
    </w:p>
    <w:p w14:paraId="42908168" w14:textId="5CCD9627" w:rsidR="002D5756" w:rsidRPr="00055772" w:rsidRDefault="002D5756" w:rsidP="007C5DE0">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 xml:space="preserve">Отмечалось, что проектирование крупного города необходимо проводить во взаимной увязке с регулированием развития его многоотраслевого народнохозяйственного комплекса и многоуровневой системы расселения: региональной (как правило, экономический район, республика); субрегиональной (область, край); групповой (агломерация с учетом смежных </w:t>
      </w:r>
      <w:r w:rsidRPr="00055772">
        <w:rPr>
          <w:rFonts w:ascii="Times New Roman" w:hAnsi="Times New Roman" w:cs="Times New Roman"/>
          <w:kern w:val="2"/>
          <w:sz w:val="24"/>
          <w:szCs w:val="24"/>
          <w14:ligatures w14:val="standardContextual"/>
        </w:rPr>
        <w:lastRenderedPageBreak/>
        <w:t>территорий). В составе каждого из уровней необходимо выделение населенных мест со своим режимом развития производственной и социальной подсистем, исходя из отводимой им роли в упорядочении сбалансированности расселения и ограничении дальнейшего экстенсивного роста крупного города</w:t>
      </w:r>
      <w:r w:rsidR="007C5DE0" w:rsidRPr="00055772">
        <w:rPr>
          <w:rFonts w:ascii="Times New Roman" w:hAnsi="Times New Roman" w:cs="Times New Roman"/>
          <w:kern w:val="2"/>
          <w:sz w:val="24"/>
          <w:szCs w:val="24"/>
          <w14:ligatures w14:val="standardContextual"/>
        </w:rPr>
        <w:t xml:space="preserve"> [</w:t>
      </w:r>
      <w:r w:rsidR="00055772" w:rsidRPr="00055772">
        <w:rPr>
          <w:rFonts w:ascii="Times New Roman" w:hAnsi="Times New Roman" w:cs="Times New Roman"/>
          <w:kern w:val="2"/>
          <w:sz w:val="24"/>
          <w:szCs w:val="24"/>
          <w14:ligatures w14:val="standardContextual"/>
        </w:rPr>
        <w:t>2</w:t>
      </w:r>
      <w:r w:rsidR="007C5DE0" w:rsidRPr="00055772">
        <w:rPr>
          <w:rFonts w:ascii="Times New Roman" w:hAnsi="Times New Roman" w:cs="Times New Roman"/>
          <w:kern w:val="2"/>
          <w:sz w:val="24"/>
          <w:szCs w:val="24"/>
          <w14:ligatures w14:val="standardContextual"/>
        </w:rPr>
        <w:t>, с. 23].</w:t>
      </w:r>
    </w:p>
    <w:p w14:paraId="3CC13B16" w14:textId="4B5D557F" w:rsidR="002D5756"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Как отмечалось в работе [</w:t>
      </w:r>
      <w:r w:rsidR="00055772" w:rsidRPr="00055772">
        <w:rPr>
          <w:rFonts w:ascii="Times New Roman" w:hAnsi="Times New Roman" w:cs="Times New Roman"/>
          <w:kern w:val="2"/>
          <w:sz w:val="24"/>
          <w:szCs w:val="24"/>
          <w14:ligatures w14:val="standardContextual"/>
        </w:rPr>
        <w:t>3</w:t>
      </w:r>
      <w:r w:rsidR="007C5DE0" w:rsidRPr="00055772">
        <w:rPr>
          <w:rFonts w:ascii="Times New Roman" w:hAnsi="Times New Roman" w:cs="Times New Roman"/>
          <w:kern w:val="2"/>
          <w:sz w:val="24"/>
          <w:szCs w:val="24"/>
          <w14:ligatures w14:val="standardContextual"/>
        </w:rPr>
        <w:t>, с. 13</w:t>
      </w:r>
      <w:r w:rsidRPr="00055772">
        <w:rPr>
          <w:rFonts w:ascii="Times New Roman" w:hAnsi="Times New Roman" w:cs="Times New Roman"/>
          <w:kern w:val="2"/>
          <w:sz w:val="24"/>
          <w:szCs w:val="24"/>
          <w14:ligatures w14:val="standardContextual"/>
        </w:rPr>
        <w:t xml:space="preserve">], как одно из основных условий формирования систем расселения, выравнивания возможностей социально-экономического развития населенных мест, ликвидации существенных </w:t>
      </w:r>
      <w:r w:rsidRPr="00055772">
        <w:rPr>
          <w:rFonts w:ascii="Times New Roman" w:hAnsi="Times New Roman" w:cs="Times New Roman"/>
          <w:i/>
          <w:iCs/>
          <w:kern w:val="2"/>
          <w:sz w:val="24"/>
          <w:szCs w:val="24"/>
          <w14:ligatures w14:val="standardContextual"/>
        </w:rPr>
        <w:t>различий между городом и деревней</w:t>
      </w:r>
      <w:r w:rsidRPr="00055772">
        <w:rPr>
          <w:rFonts w:ascii="Times New Roman" w:hAnsi="Times New Roman" w:cs="Times New Roman"/>
          <w:kern w:val="2"/>
          <w:sz w:val="24"/>
          <w:szCs w:val="24"/>
          <w14:ligatures w14:val="standardContextual"/>
        </w:rPr>
        <w:t xml:space="preserve">, превращения относительно обособленных городов, поселков и сел в элементы систем расселения, следует рассматривать задачу </w:t>
      </w:r>
      <w:r w:rsidRPr="00055772">
        <w:rPr>
          <w:rFonts w:ascii="Times New Roman" w:hAnsi="Times New Roman" w:cs="Times New Roman"/>
          <w:i/>
          <w:iCs/>
          <w:kern w:val="2"/>
          <w:sz w:val="24"/>
          <w:szCs w:val="24"/>
          <w14:ligatures w14:val="standardContextual"/>
        </w:rPr>
        <w:t>развития функциональных связей между ними</w:t>
      </w:r>
      <w:r w:rsidRPr="00055772">
        <w:rPr>
          <w:rFonts w:ascii="Times New Roman" w:hAnsi="Times New Roman" w:cs="Times New Roman"/>
          <w:kern w:val="2"/>
          <w:sz w:val="24"/>
          <w:szCs w:val="24"/>
          <w14:ligatures w14:val="standardContextual"/>
        </w:rPr>
        <w:t xml:space="preserve"> (межселенных связей). Взаимосвязанное развитие населенных мест обеспечивалось межселенными производственно-экономическими и социально-культурными связями.</w:t>
      </w:r>
    </w:p>
    <w:p w14:paraId="5C049FB2" w14:textId="77777777" w:rsidR="002D5756"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 xml:space="preserve">Формирование и совершенствование функциональной и планировочной структуры </w:t>
      </w:r>
      <w:r w:rsidRPr="00055772">
        <w:rPr>
          <w:rFonts w:ascii="Times New Roman" w:hAnsi="Times New Roman" w:cs="Times New Roman"/>
          <w:i/>
          <w:iCs/>
          <w:kern w:val="2"/>
          <w:sz w:val="24"/>
          <w:szCs w:val="24"/>
          <w14:ligatures w14:val="standardContextual"/>
        </w:rPr>
        <w:t>малых городов</w:t>
      </w:r>
      <w:r w:rsidRPr="00055772">
        <w:rPr>
          <w:rFonts w:ascii="Times New Roman" w:hAnsi="Times New Roman" w:cs="Times New Roman"/>
          <w:kern w:val="2"/>
          <w:sz w:val="24"/>
          <w:szCs w:val="24"/>
          <w14:ligatures w14:val="standardContextual"/>
        </w:rPr>
        <w:t xml:space="preserve"> в системах расселения связывалось с развитием межселенных трудовых и культурно-бытовых связей. Отмечалось, что в масштабе областной системы расселения эти связи необходимо дифференцировать в зависимости от степени доступности крупного города-центра на два вида – непосредственные и опосредствованные.</w:t>
      </w:r>
    </w:p>
    <w:p w14:paraId="386F4E4D" w14:textId="77777777" w:rsidR="002D5756"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 xml:space="preserve">К малым городам, устанавливающим непосредственные связи с крупным городом-центром системы, планировалось относить лишь города, находящиеся в ближайшем окружении этого центра, в основном в пределах радиуса трудового тяготения населения. На периферийной части территории системы малые города имеют опосредствованные связи с крупным городом-центром в пределах зоны его комплексного социально-экономического влияния (как правило, в границах области). Теми же закономерностями определяется и </w:t>
      </w:r>
      <w:r w:rsidRPr="00055772">
        <w:rPr>
          <w:rFonts w:ascii="Times New Roman" w:hAnsi="Times New Roman" w:cs="Times New Roman"/>
          <w:i/>
          <w:iCs/>
          <w:kern w:val="2"/>
          <w:sz w:val="24"/>
          <w:szCs w:val="24"/>
          <w14:ligatures w14:val="standardContextual"/>
        </w:rPr>
        <w:t xml:space="preserve">взаимодействие малого города-центра </w:t>
      </w:r>
      <w:r w:rsidRPr="00055772">
        <w:rPr>
          <w:rFonts w:ascii="Times New Roman" w:hAnsi="Times New Roman" w:cs="Times New Roman"/>
          <w:kern w:val="2"/>
          <w:sz w:val="24"/>
          <w:szCs w:val="24"/>
          <w14:ligatures w14:val="standardContextual"/>
        </w:rPr>
        <w:t xml:space="preserve">местной системы </w:t>
      </w:r>
      <w:r w:rsidRPr="00055772">
        <w:rPr>
          <w:rFonts w:ascii="Times New Roman" w:hAnsi="Times New Roman" w:cs="Times New Roman"/>
          <w:i/>
          <w:iCs/>
          <w:kern w:val="2"/>
          <w:sz w:val="24"/>
          <w:szCs w:val="24"/>
          <w14:ligatures w14:val="standardContextual"/>
        </w:rPr>
        <w:t xml:space="preserve">с сельскими населенными пунктами </w:t>
      </w:r>
      <w:r w:rsidRPr="00055772">
        <w:rPr>
          <w:rFonts w:ascii="Times New Roman" w:hAnsi="Times New Roman" w:cs="Times New Roman"/>
          <w:kern w:val="2"/>
          <w:sz w:val="24"/>
          <w:szCs w:val="24"/>
          <w14:ligatures w14:val="standardContextual"/>
        </w:rPr>
        <w:t>в пределах этой системы.</w:t>
      </w:r>
    </w:p>
    <w:p w14:paraId="211BA343" w14:textId="77777777" w:rsidR="002D5756"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С целью учета совокупности влияющих факторов перспективы развития отдельных малых городов определялись не изолированно, а в системе расселения, с выявлением взаимного влияния населенных мест и воздействия системообразующих связей.</w:t>
      </w:r>
    </w:p>
    <w:p w14:paraId="3C52F929" w14:textId="77777777" w:rsidR="002D5756"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Для малых городов, предусматриваемых к развитию в качестве местных организационно-хозяйственных и административных центров, при определении их экономической базы нужно было проанализировать условия формирования производственных, организационно-хозяйственных, культурно-бытовых, трудовых и других связей города с тяготеющей к нему территорией, выявить возможности размещения и масштабы развития в городе комплекса учреждений и предприятий, осуществляющих переработку местного сырья (сельскохозяйственной продукции, леса, минерального сырья и т. д.); предприятий, ориентированных на удовлетворение спроса местного населения в изделиях широкого потребления; предприятий, обслуживающих производство на территории района, а также учреждений культурно-бытового обслуживания сельского населения.</w:t>
      </w:r>
    </w:p>
    <w:p w14:paraId="21F24CFB" w14:textId="77777777" w:rsidR="002D5756"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 xml:space="preserve">По характеру, объему и направленности </w:t>
      </w:r>
      <w:r w:rsidRPr="00055772">
        <w:rPr>
          <w:rFonts w:ascii="Times New Roman" w:hAnsi="Times New Roman" w:cs="Times New Roman"/>
          <w:i/>
          <w:iCs/>
          <w:kern w:val="2"/>
          <w:sz w:val="24"/>
          <w:szCs w:val="24"/>
          <w14:ligatures w14:val="standardContextual"/>
        </w:rPr>
        <w:t>межселенных производственных связей среди предприятий малых городов</w:t>
      </w:r>
      <w:r w:rsidRPr="00055772">
        <w:rPr>
          <w:rFonts w:ascii="Times New Roman" w:hAnsi="Times New Roman" w:cs="Times New Roman"/>
          <w:kern w:val="2"/>
          <w:sz w:val="24"/>
          <w:szCs w:val="24"/>
          <w14:ligatures w14:val="standardContextual"/>
        </w:rPr>
        <w:t xml:space="preserve"> выделяются следующие типы:</w:t>
      </w:r>
    </w:p>
    <w:p w14:paraId="6780090E" w14:textId="77777777" w:rsidR="002D5756" w:rsidRPr="00055772" w:rsidRDefault="002D5756" w:rsidP="009D0D95">
      <w:pPr>
        <w:numPr>
          <w:ilvl w:val="0"/>
          <w:numId w:val="5"/>
        </w:numPr>
        <w:tabs>
          <w:tab w:val="left" w:pos="993"/>
        </w:tabs>
        <w:spacing w:after="0" w:line="240" w:lineRule="auto"/>
        <w:ind w:left="0"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первый – предприятия с незначительным грузооборотом (заводы точного приборостроения, электроники, вычислительной техники, швейные, трикотажные фабрики, художественные промыслы, ряд предприятий пищевой промышленности и др.), размещение которых не связано с начертанием межселенных транспортных линий;</w:t>
      </w:r>
    </w:p>
    <w:p w14:paraId="35E8500E" w14:textId="77777777" w:rsidR="002D5756" w:rsidRPr="00055772" w:rsidRDefault="002D5756" w:rsidP="009D0D95">
      <w:pPr>
        <w:numPr>
          <w:ilvl w:val="0"/>
          <w:numId w:val="5"/>
        </w:numPr>
        <w:tabs>
          <w:tab w:val="left" w:pos="993"/>
        </w:tabs>
        <w:spacing w:after="0" w:line="240" w:lineRule="auto"/>
        <w:ind w:left="0"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второй – предприятия с большим грузооборотом, осваиваемым в основном (около 90%) железной дорогой. К ним относятся крупные предприятия общего машиностроения, цементной, химической, деревообрабатывающей промышленности и др.;</w:t>
      </w:r>
    </w:p>
    <w:p w14:paraId="2C53E721" w14:textId="77777777" w:rsidR="002D5756" w:rsidRPr="00055772" w:rsidRDefault="002D5756" w:rsidP="009D0D95">
      <w:pPr>
        <w:numPr>
          <w:ilvl w:val="0"/>
          <w:numId w:val="5"/>
        </w:numPr>
        <w:tabs>
          <w:tab w:val="left" w:pos="993"/>
        </w:tabs>
        <w:spacing w:after="0" w:line="240" w:lineRule="auto"/>
        <w:ind w:left="0"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третий – предприятия с большим грузооборотом, осваиваемым железнодорожным и автомобильным (до 70%) транспортом, прибывающим со многих направлений обслуживаемой зоны. К ним относятся: комбинаты сельского домостроения, заводы железобетонных конструкций, производственные базы сельского строительства, мясокомбинаты, заводы молочных консервов, торговые базы Сельхозтехники и Райпотребсоюза, элеваторы, заводы комбикормов и др.;</w:t>
      </w:r>
    </w:p>
    <w:p w14:paraId="29D69FC0" w14:textId="77777777" w:rsidR="002D5756" w:rsidRPr="00055772" w:rsidRDefault="002D5756" w:rsidP="009D0D95">
      <w:pPr>
        <w:numPr>
          <w:ilvl w:val="0"/>
          <w:numId w:val="5"/>
        </w:numPr>
        <w:tabs>
          <w:tab w:val="left" w:pos="993"/>
        </w:tabs>
        <w:spacing w:after="0" w:line="240" w:lineRule="auto"/>
        <w:ind w:left="0"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lastRenderedPageBreak/>
        <w:t xml:space="preserve">четвертый – предприятия с грузооборотом, осваиваемым в основном (около 90%) автомобильным транспортом, прибывающим с многих или нескольких направлений обслуживаемой зоны или зон поставок сырья и продукции (ремонтные мастерские Сельхозтехники, производственные базы ПМК </w:t>
      </w:r>
      <w:proofErr w:type="spellStart"/>
      <w:r w:rsidRPr="00055772">
        <w:rPr>
          <w:rFonts w:ascii="Times New Roman" w:hAnsi="Times New Roman" w:cs="Times New Roman"/>
          <w:kern w:val="2"/>
          <w:sz w:val="24"/>
          <w:szCs w:val="24"/>
          <w14:ligatures w14:val="standardContextual"/>
        </w:rPr>
        <w:t>Межколхозстроя</w:t>
      </w:r>
      <w:proofErr w:type="spellEnd"/>
      <w:r w:rsidRPr="00055772">
        <w:rPr>
          <w:rFonts w:ascii="Times New Roman" w:hAnsi="Times New Roman" w:cs="Times New Roman"/>
          <w:kern w:val="2"/>
          <w:sz w:val="24"/>
          <w:szCs w:val="24"/>
          <w14:ligatures w14:val="standardContextual"/>
        </w:rPr>
        <w:t>, молочные заводы районного и межрайонного значения, автотранспортные предприятия, небольшие птицефабрики, филиалы и цехи некоторых предприятий крупных городов).</w:t>
      </w:r>
    </w:p>
    <w:p w14:paraId="29BB5C86" w14:textId="77777777" w:rsidR="002D5756"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 xml:space="preserve">При это указывалось, что предприятия названных типов целесообразно размещать: первого типа – преимущественно в пределах селитебных территорий; последние три типа – на периферии селитебных территорий (предприятия второго типа размещаются у линий железной дороги; третьего типа – у линии железной дороги с учетом возможностей подвода к ним обходящих селитебные территории автодорог, соединяющих межселенные дороги многих направлений). </w:t>
      </w:r>
    </w:p>
    <w:p w14:paraId="13D93701" w14:textId="77777777" w:rsidR="002D5756"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При отсутствии объездных дорог неизбежен транзит грузового транспорта через селитебные территории, так как грузооборот предприятий имеет разностороннюю направленность. В городах, не имеющих железной дороги, указанные предприятия планировалось размещать на периферии города со стороны ближайшей железнодорожной станции у ведущей к ней автодороги. Предприятия четвертого типа (независимо от трассировки линии железной дороги) – у объездных городских дорог (мастерские Сельхозтехники, автотранспортные предприятия, молочные заводы и др.) или на периферии города со стороны объектов производственного тяготения у ведущих к ним дорог (филиалы предприятий крупных городов, птицефабрики и др.).</w:t>
      </w:r>
    </w:p>
    <w:p w14:paraId="0F1FEF4B" w14:textId="2E9D94DC" w:rsidR="002D5756" w:rsidRPr="00055772" w:rsidRDefault="002D5756" w:rsidP="009D0D95">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Отмечалось, что при размещении предприятий нужно учитывать вероятность переориентации производственных связей некоторых из них, отражающей процессы специализации, концентрации производства и развития дальних производственных связей. Так, например, неспециализированные ремонтные мастерские Сельхозтехники преобразуются в специализированные, увеличивается доля грузооборота, осваиваемая железной дорогой у заводов фруктовых и овощных консервов в связи с работой их на сырье из дальних сырьевых зон и т.п.</w:t>
      </w:r>
      <w:r w:rsidR="007C5DE0" w:rsidRPr="00055772">
        <w:rPr>
          <w:rFonts w:ascii="Times New Roman" w:hAnsi="Times New Roman" w:cs="Times New Roman"/>
          <w:kern w:val="2"/>
          <w:sz w:val="24"/>
          <w:szCs w:val="24"/>
          <w:vertAlign w:val="superscript"/>
          <w14:ligatures w14:val="standardContextual"/>
        </w:rPr>
        <w:t xml:space="preserve"> </w:t>
      </w:r>
      <w:r w:rsidR="007C5DE0" w:rsidRPr="00055772">
        <w:rPr>
          <w:rFonts w:ascii="Times New Roman" w:hAnsi="Times New Roman" w:cs="Times New Roman"/>
          <w:kern w:val="2"/>
          <w:sz w:val="24"/>
          <w:szCs w:val="24"/>
          <w14:ligatures w14:val="standardContextual"/>
        </w:rPr>
        <w:t>[</w:t>
      </w:r>
      <w:r w:rsidR="00055772" w:rsidRPr="00055772">
        <w:rPr>
          <w:rFonts w:ascii="Times New Roman" w:hAnsi="Times New Roman" w:cs="Times New Roman"/>
          <w:kern w:val="2"/>
          <w:sz w:val="24"/>
          <w:szCs w:val="24"/>
          <w14:ligatures w14:val="standardContextual"/>
        </w:rPr>
        <w:t>3</w:t>
      </w:r>
      <w:r w:rsidR="007C5DE0" w:rsidRPr="00055772">
        <w:rPr>
          <w:rFonts w:ascii="Times New Roman" w:hAnsi="Times New Roman" w:cs="Times New Roman"/>
          <w:kern w:val="2"/>
          <w:sz w:val="24"/>
          <w:szCs w:val="24"/>
          <w14:ligatures w14:val="standardContextual"/>
        </w:rPr>
        <w:t>, с. 31].</w:t>
      </w:r>
    </w:p>
    <w:p w14:paraId="0477C2AB" w14:textId="5358A0B6" w:rsidR="000D55B5" w:rsidRPr="00055772" w:rsidRDefault="000D55B5" w:rsidP="00C63A7E">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kern w:val="2"/>
          <w:sz w:val="24"/>
          <w:szCs w:val="24"/>
          <w14:ligatures w14:val="standardContextual"/>
        </w:rPr>
        <w:t>Следствием перехода России к рынку в 1990-е гг. стали трансформация, ослабление или вовсе разрушение существующих технологических, кооперационных, социальных и иных связей ее регионов.</w:t>
      </w:r>
      <w:r w:rsidR="00C63A7E" w:rsidRPr="00055772">
        <w:rPr>
          <w:rFonts w:ascii="Times New Roman" w:hAnsi="Times New Roman" w:cs="Times New Roman"/>
          <w:kern w:val="2"/>
          <w:sz w:val="24"/>
          <w:szCs w:val="24"/>
          <w14:ligatures w14:val="standardContextual"/>
        </w:rPr>
        <w:t xml:space="preserve"> Вместе с тем именно развитие хозяйственно-производственных связей, инфраструктурной и социальной связности территорий становится объективной основой для реализации совместных межмуниципальных и межрегиональных проектов, являющихся материальной основой обеспечения пространственной интеграции на внутри- и межрегиональном уровнях [1, с. 102]. </w:t>
      </w:r>
    </w:p>
    <w:p w14:paraId="3A45C823" w14:textId="77777777" w:rsidR="00C63A7E" w:rsidRPr="00055772" w:rsidRDefault="002D5756" w:rsidP="00C63A7E">
      <w:pPr>
        <w:spacing w:after="0" w:line="240" w:lineRule="auto"/>
        <w:ind w:firstLine="709"/>
        <w:contextualSpacing/>
        <w:jc w:val="both"/>
        <w:rPr>
          <w:rFonts w:ascii="Times New Roman" w:hAnsi="Times New Roman" w:cs="Times New Roman"/>
          <w:kern w:val="2"/>
          <w:sz w:val="24"/>
          <w:szCs w:val="24"/>
          <w14:ligatures w14:val="standardContextual"/>
        </w:rPr>
      </w:pPr>
      <w:r w:rsidRPr="00055772">
        <w:rPr>
          <w:rFonts w:ascii="Times New Roman" w:hAnsi="Times New Roman" w:cs="Times New Roman"/>
          <w:sz w:val="24"/>
          <w:szCs w:val="24"/>
        </w:rPr>
        <w:t>Таким образом, наличие эффективных связей выступает одним из основных аспектов, направленных на обеспечение целостности региона, способствуя как внутрирегиональному, так и межрегиональному взаимодействию. Осуществление и развитие данных взаимодействий создает постоянный региональный экономический цикл воспроизводства товаров, что способствует развитию регионов. В то же время связи между элементами социально-экономического пространства создают его целостность, что обеспечивает рациональное распределение природно-ресурсного потенциала, создание постоянных внутрирегиональных и межрегиональных производственных связей, а также согласованное сбалансированное развитие региона.</w:t>
      </w:r>
      <w:r w:rsidR="00C63A7E" w:rsidRPr="00055772">
        <w:rPr>
          <w:rFonts w:ascii="Times New Roman" w:hAnsi="Times New Roman" w:cs="Times New Roman"/>
          <w:kern w:val="2"/>
          <w:sz w:val="24"/>
          <w:szCs w:val="24"/>
          <w14:ligatures w14:val="standardContextual"/>
        </w:rPr>
        <w:t xml:space="preserve"> </w:t>
      </w:r>
    </w:p>
    <w:p w14:paraId="572BC020" w14:textId="13A088A8" w:rsidR="002D5756" w:rsidRPr="00055772" w:rsidRDefault="00C63A7E" w:rsidP="00C63A7E">
      <w:pPr>
        <w:spacing w:after="0" w:line="240" w:lineRule="auto"/>
        <w:ind w:firstLine="709"/>
        <w:contextualSpacing/>
        <w:jc w:val="both"/>
        <w:rPr>
          <w:rFonts w:ascii="Times New Roman" w:hAnsi="Times New Roman" w:cs="Times New Roman"/>
          <w:sz w:val="24"/>
          <w:szCs w:val="24"/>
        </w:rPr>
      </w:pPr>
      <w:r w:rsidRPr="00055772">
        <w:rPr>
          <w:rFonts w:ascii="Times New Roman" w:hAnsi="Times New Roman" w:cs="Times New Roman"/>
          <w:kern w:val="2"/>
          <w:sz w:val="24"/>
          <w:szCs w:val="24"/>
          <w14:ligatures w14:val="standardContextual"/>
        </w:rPr>
        <w:t>В данной связи особенно актуальным является дальнейшее изучение производственно-экономических связей между элементами социально-экономического пространства региона в целях обеспечения его сбалансированности.</w:t>
      </w:r>
    </w:p>
    <w:p w14:paraId="44766816" w14:textId="6D4CAED1" w:rsidR="002D5756" w:rsidRPr="00055772" w:rsidRDefault="002D5756" w:rsidP="009D0D95">
      <w:pPr>
        <w:spacing w:after="0" w:line="240" w:lineRule="auto"/>
        <w:contextualSpacing/>
        <w:rPr>
          <w:rFonts w:ascii="Times New Roman" w:hAnsi="Times New Roman" w:cs="Times New Roman"/>
          <w:sz w:val="24"/>
          <w:szCs w:val="24"/>
        </w:rPr>
      </w:pPr>
    </w:p>
    <w:p w14:paraId="0CAD76CC" w14:textId="77777777" w:rsidR="00D47739" w:rsidRPr="00055772" w:rsidRDefault="00D47739" w:rsidP="00D47739">
      <w:pPr>
        <w:spacing w:after="0" w:line="240" w:lineRule="auto"/>
        <w:ind w:firstLine="709"/>
        <w:jc w:val="center"/>
        <w:rPr>
          <w:rFonts w:ascii="Times New Roman" w:hAnsi="Times New Roman" w:cs="Times New Roman"/>
          <w:b/>
          <w:sz w:val="24"/>
          <w:szCs w:val="24"/>
        </w:rPr>
      </w:pPr>
      <w:r w:rsidRPr="00055772">
        <w:rPr>
          <w:rFonts w:ascii="Times New Roman" w:hAnsi="Times New Roman" w:cs="Times New Roman"/>
          <w:b/>
          <w:sz w:val="24"/>
          <w:szCs w:val="24"/>
        </w:rPr>
        <w:t>ЛИТЕРАТУРА</w:t>
      </w:r>
    </w:p>
    <w:p w14:paraId="6E21065C" w14:textId="13DCCE2F" w:rsidR="000D55B5" w:rsidRPr="00055772" w:rsidRDefault="000D55B5" w:rsidP="00055772">
      <w:pPr>
        <w:pStyle w:val="a7"/>
        <w:numPr>
          <w:ilvl w:val="0"/>
          <w:numId w:val="6"/>
        </w:numPr>
        <w:tabs>
          <w:tab w:val="left" w:pos="993"/>
        </w:tabs>
        <w:spacing w:after="0" w:line="240" w:lineRule="auto"/>
        <w:ind w:left="0" w:firstLine="709"/>
        <w:jc w:val="both"/>
        <w:rPr>
          <w:rFonts w:ascii="Times New Roman" w:hAnsi="Times New Roman" w:cs="Times New Roman"/>
          <w:sz w:val="24"/>
          <w:szCs w:val="24"/>
        </w:rPr>
      </w:pPr>
      <w:r w:rsidRPr="00055772">
        <w:rPr>
          <w:rFonts w:ascii="Times New Roman" w:hAnsi="Times New Roman" w:cs="Times New Roman"/>
          <w:sz w:val="24"/>
          <w:szCs w:val="24"/>
        </w:rPr>
        <w:t xml:space="preserve">Кожевников C. А. «Мягкие» факторы обеспечения пространственной интеграции северных регионов России // </w:t>
      </w:r>
      <w:proofErr w:type="spellStart"/>
      <w:r w:rsidRPr="00055772">
        <w:rPr>
          <w:rFonts w:ascii="Times New Roman" w:hAnsi="Times New Roman" w:cs="Times New Roman"/>
          <w:sz w:val="24"/>
          <w:szCs w:val="24"/>
        </w:rPr>
        <w:t>Регионология</w:t>
      </w:r>
      <w:proofErr w:type="spellEnd"/>
      <w:r w:rsidRPr="00055772">
        <w:rPr>
          <w:rFonts w:ascii="Times New Roman" w:hAnsi="Times New Roman" w:cs="Times New Roman"/>
          <w:sz w:val="24"/>
          <w:szCs w:val="24"/>
        </w:rPr>
        <w:t xml:space="preserve">. 2023. Т. 31, № 1. С. 87–106. </w:t>
      </w:r>
      <w:proofErr w:type="spellStart"/>
      <w:r w:rsidRPr="00055772">
        <w:rPr>
          <w:rFonts w:ascii="Times New Roman" w:hAnsi="Times New Roman" w:cs="Times New Roman"/>
          <w:sz w:val="24"/>
          <w:szCs w:val="24"/>
        </w:rPr>
        <w:t>doi</w:t>
      </w:r>
      <w:proofErr w:type="spellEnd"/>
      <w:r w:rsidRPr="00055772">
        <w:rPr>
          <w:rFonts w:ascii="Times New Roman" w:hAnsi="Times New Roman" w:cs="Times New Roman"/>
          <w:sz w:val="24"/>
          <w:szCs w:val="24"/>
        </w:rPr>
        <w:t>: https://doi.org/10.15507/2413-1407.122.031.202301.087-106</w:t>
      </w:r>
    </w:p>
    <w:p w14:paraId="3426719D" w14:textId="53974AE5" w:rsidR="007C5DE0" w:rsidRPr="00055772" w:rsidRDefault="007C5DE0" w:rsidP="00055772">
      <w:pPr>
        <w:pStyle w:val="a7"/>
        <w:numPr>
          <w:ilvl w:val="0"/>
          <w:numId w:val="6"/>
        </w:numPr>
        <w:tabs>
          <w:tab w:val="left" w:pos="993"/>
        </w:tabs>
        <w:spacing w:after="0" w:line="240" w:lineRule="auto"/>
        <w:ind w:left="0" w:firstLine="709"/>
        <w:jc w:val="both"/>
        <w:rPr>
          <w:rFonts w:ascii="Times New Roman" w:hAnsi="Times New Roman" w:cs="Times New Roman"/>
          <w:sz w:val="24"/>
          <w:szCs w:val="24"/>
        </w:rPr>
      </w:pPr>
      <w:r w:rsidRPr="00055772">
        <w:rPr>
          <w:rFonts w:ascii="Times New Roman" w:hAnsi="Times New Roman" w:cs="Times New Roman"/>
          <w:sz w:val="24"/>
          <w:szCs w:val="24"/>
        </w:rPr>
        <w:lastRenderedPageBreak/>
        <w:t xml:space="preserve">Рекомендации по проектированию крупных городов как центров групповых систем населенных мест / ЦНИИП градостроительства. – М.: </w:t>
      </w:r>
      <w:proofErr w:type="spellStart"/>
      <w:r w:rsidRPr="00055772">
        <w:rPr>
          <w:rFonts w:ascii="Times New Roman" w:hAnsi="Times New Roman" w:cs="Times New Roman"/>
          <w:sz w:val="24"/>
          <w:szCs w:val="24"/>
        </w:rPr>
        <w:t>Стройиздат</w:t>
      </w:r>
      <w:proofErr w:type="spellEnd"/>
      <w:r w:rsidRPr="00055772">
        <w:rPr>
          <w:rFonts w:ascii="Times New Roman" w:hAnsi="Times New Roman" w:cs="Times New Roman"/>
          <w:sz w:val="24"/>
          <w:szCs w:val="24"/>
        </w:rPr>
        <w:t>, 1989. – 72 с.</w:t>
      </w:r>
    </w:p>
    <w:p w14:paraId="41E16868" w14:textId="77777777" w:rsidR="007C5DE0" w:rsidRPr="00055772" w:rsidRDefault="007C5DE0" w:rsidP="00055772">
      <w:pPr>
        <w:pStyle w:val="a7"/>
        <w:numPr>
          <w:ilvl w:val="0"/>
          <w:numId w:val="6"/>
        </w:numPr>
        <w:tabs>
          <w:tab w:val="left" w:pos="993"/>
        </w:tabs>
        <w:spacing w:after="0" w:line="240" w:lineRule="auto"/>
        <w:ind w:left="0" w:firstLine="709"/>
        <w:jc w:val="both"/>
        <w:rPr>
          <w:rFonts w:ascii="Times New Roman" w:hAnsi="Times New Roman" w:cs="Times New Roman"/>
          <w:sz w:val="24"/>
          <w:szCs w:val="24"/>
        </w:rPr>
      </w:pPr>
      <w:r w:rsidRPr="00055772">
        <w:rPr>
          <w:rFonts w:ascii="Times New Roman" w:hAnsi="Times New Roman" w:cs="Times New Roman"/>
          <w:sz w:val="24"/>
          <w:szCs w:val="24"/>
        </w:rPr>
        <w:t xml:space="preserve">Руководство по проектированию малых городов в системах расселения / ЦНИИП градостроительства. –  М.: </w:t>
      </w:r>
      <w:proofErr w:type="spellStart"/>
      <w:r w:rsidRPr="00055772">
        <w:rPr>
          <w:rFonts w:ascii="Times New Roman" w:hAnsi="Times New Roman" w:cs="Times New Roman"/>
          <w:sz w:val="24"/>
          <w:szCs w:val="24"/>
        </w:rPr>
        <w:t>Стройиздат</w:t>
      </w:r>
      <w:proofErr w:type="spellEnd"/>
      <w:r w:rsidRPr="00055772">
        <w:rPr>
          <w:rFonts w:ascii="Times New Roman" w:hAnsi="Times New Roman" w:cs="Times New Roman"/>
          <w:sz w:val="24"/>
          <w:szCs w:val="24"/>
        </w:rPr>
        <w:t>, 1979. – 129 с.</w:t>
      </w:r>
    </w:p>
    <w:sectPr w:rsidR="007C5DE0" w:rsidRPr="00055772" w:rsidSect="009D0D9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7888D" w14:textId="77777777" w:rsidR="005E587C" w:rsidRDefault="005E587C" w:rsidP="002D5756">
      <w:pPr>
        <w:spacing w:after="0" w:line="240" w:lineRule="auto"/>
      </w:pPr>
      <w:r>
        <w:separator/>
      </w:r>
    </w:p>
  </w:endnote>
  <w:endnote w:type="continuationSeparator" w:id="0">
    <w:p w14:paraId="211A1685" w14:textId="77777777" w:rsidR="005E587C" w:rsidRDefault="005E587C" w:rsidP="002D5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DA3BC" w14:textId="77777777" w:rsidR="005E587C" w:rsidRDefault="005E587C" w:rsidP="002D5756">
      <w:pPr>
        <w:spacing w:after="0" w:line="240" w:lineRule="auto"/>
      </w:pPr>
      <w:r>
        <w:separator/>
      </w:r>
    </w:p>
  </w:footnote>
  <w:footnote w:type="continuationSeparator" w:id="0">
    <w:p w14:paraId="3ABA4D1A" w14:textId="77777777" w:rsidR="005E587C" w:rsidRDefault="005E587C" w:rsidP="002D5756">
      <w:pPr>
        <w:spacing w:after="0" w:line="240" w:lineRule="auto"/>
      </w:pPr>
      <w:r>
        <w:continuationSeparator/>
      </w:r>
    </w:p>
  </w:footnote>
  <w:footnote w:id="1">
    <w:p w14:paraId="6D7672C0" w14:textId="7B2FE0CA" w:rsidR="006D6890" w:rsidRDefault="006D6890" w:rsidP="006D6890">
      <w:pPr>
        <w:spacing w:line="240" w:lineRule="auto"/>
        <w:jc w:val="both"/>
        <w:rPr>
          <w:rFonts w:ascii="Times New Roman" w:hAnsi="Times New Roman" w:cs="Times New Roman"/>
          <w:sz w:val="20"/>
          <w:szCs w:val="20"/>
        </w:rPr>
      </w:pPr>
      <w:r w:rsidRPr="00CA7DF7">
        <w:rPr>
          <w:rStyle w:val="ae"/>
          <w:rFonts w:ascii="Times New Roman" w:hAnsi="Times New Roman" w:cs="Times New Roman"/>
          <w:sz w:val="20"/>
          <w:szCs w:val="20"/>
        </w:rPr>
        <w:t>1</w:t>
      </w:r>
      <w:r w:rsidRPr="00CA7DF7">
        <w:rPr>
          <w:rFonts w:ascii="Times New Roman" w:hAnsi="Times New Roman" w:cs="Times New Roman"/>
          <w:sz w:val="20"/>
          <w:szCs w:val="20"/>
        </w:rPr>
        <w:t xml:space="preserve"> </w:t>
      </w:r>
      <w:r>
        <w:rPr>
          <w:rFonts w:ascii="Times New Roman" w:hAnsi="Times New Roman" w:cs="Times New Roman"/>
          <w:sz w:val="20"/>
          <w:szCs w:val="20"/>
        </w:rPr>
        <w:t>Копытова Екатерина Дмитриевна</w:t>
      </w:r>
      <w:r w:rsidRPr="00CA7DF7">
        <w:rPr>
          <w:rFonts w:ascii="Times New Roman" w:hAnsi="Times New Roman" w:cs="Times New Roman"/>
          <w:sz w:val="20"/>
          <w:szCs w:val="20"/>
        </w:rPr>
        <w:t xml:space="preserve">, </w:t>
      </w:r>
      <w:r>
        <w:rPr>
          <w:rFonts w:ascii="Times New Roman" w:hAnsi="Times New Roman" w:cs="Times New Roman"/>
          <w:sz w:val="20"/>
          <w:szCs w:val="20"/>
        </w:rPr>
        <w:t>кандидат экономических наук</w:t>
      </w:r>
      <w:r w:rsidRPr="00CA7DF7">
        <w:rPr>
          <w:rFonts w:ascii="Times New Roman" w:hAnsi="Times New Roman" w:cs="Times New Roman"/>
          <w:sz w:val="20"/>
          <w:szCs w:val="20"/>
        </w:rPr>
        <w:t xml:space="preserve">, </w:t>
      </w:r>
      <w:r>
        <w:rPr>
          <w:rFonts w:ascii="Times New Roman" w:hAnsi="Times New Roman" w:cs="Times New Roman"/>
          <w:sz w:val="20"/>
          <w:szCs w:val="20"/>
        </w:rPr>
        <w:t>научный сотрудник</w:t>
      </w:r>
      <w:r w:rsidRPr="00CA7DF7">
        <w:rPr>
          <w:rFonts w:ascii="Times New Roman" w:hAnsi="Times New Roman" w:cs="Times New Roman"/>
          <w:sz w:val="20"/>
          <w:szCs w:val="20"/>
        </w:rPr>
        <w:t xml:space="preserve">, </w:t>
      </w:r>
      <w:r>
        <w:rPr>
          <w:rFonts w:ascii="Times New Roman" w:hAnsi="Times New Roman" w:cs="Times New Roman"/>
          <w:sz w:val="20"/>
          <w:szCs w:val="20"/>
        </w:rPr>
        <w:t>ФГБУН «Вологодский научный центр Российской академии наук»</w:t>
      </w:r>
      <w:r w:rsidRPr="00CA7DF7">
        <w:rPr>
          <w:rFonts w:ascii="Times New Roman" w:hAnsi="Times New Roman" w:cs="Times New Roman"/>
          <w:sz w:val="20"/>
          <w:szCs w:val="20"/>
        </w:rPr>
        <w:t xml:space="preserve"> (</w:t>
      </w:r>
      <w:r>
        <w:rPr>
          <w:rFonts w:ascii="Times New Roman" w:hAnsi="Times New Roman" w:cs="Times New Roman"/>
          <w:sz w:val="20"/>
          <w:szCs w:val="20"/>
        </w:rPr>
        <w:t>160014</w:t>
      </w:r>
      <w:r w:rsidRPr="00CA7DF7">
        <w:rPr>
          <w:rFonts w:ascii="Times New Roman" w:hAnsi="Times New Roman" w:cs="Times New Roman"/>
          <w:sz w:val="20"/>
          <w:szCs w:val="20"/>
        </w:rPr>
        <w:t xml:space="preserve">, </w:t>
      </w:r>
      <w:r>
        <w:rPr>
          <w:rFonts w:ascii="Times New Roman" w:hAnsi="Times New Roman" w:cs="Times New Roman"/>
          <w:sz w:val="20"/>
          <w:szCs w:val="20"/>
        </w:rPr>
        <w:t>Россия</w:t>
      </w:r>
      <w:r w:rsidRPr="00CA7DF7">
        <w:rPr>
          <w:rFonts w:ascii="Times New Roman" w:hAnsi="Times New Roman" w:cs="Times New Roman"/>
          <w:sz w:val="20"/>
          <w:szCs w:val="20"/>
        </w:rPr>
        <w:t xml:space="preserve">, </w:t>
      </w:r>
      <w:r>
        <w:rPr>
          <w:rFonts w:ascii="Times New Roman" w:hAnsi="Times New Roman" w:cs="Times New Roman"/>
          <w:sz w:val="20"/>
          <w:szCs w:val="20"/>
        </w:rPr>
        <w:t>г. Вологда</w:t>
      </w:r>
      <w:r w:rsidRPr="00CA7DF7">
        <w:rPr>
          <w:rFonts w:ascii="Times New Roman" w:hAnsi="Times New Roman" w:cs="Times New Roman"/>
          <w:sz w:val="20"/>
          <w:szCs w:val="20"/>
        </w:rPr>
        <w:t xml:space="preserve">, ул. </w:t>
      </w:r>
      <w:r>
        <w:rPr>
          <w:rFonts w:ascii="Times New Roman" w:hAnsi="Times New Roman" w:cs="Times New Roman"/>
          <w:sz w:val="20"/>
          <w:szCs w:val="20"/>
        </w:rPr>
        <w:t>Горького</w:t>
      </w:r>
      <w:r w:rsidRPr="00CA7DF7">
        <w:rPr>
          <w:rFonts w:ascii="Times New Roman" w:hAnsi="Times New Roman" w:cs="Times New Roman"/>
          <w:sz w:val="20"/>
          <w:szCs w:val="20"/>
        </w:rPr>
        <w:t xml:space="preserve">, д. </w:t>
      </w:r>
      <w:r>
        <w:rPr>
          <w:rFonts w:ascii="Times New Roman" w:hAnsi="Times New Roman" w:cs="Times New Roman"/>
          <w:sz w:val="20"/>
          <w:szCs w:val="20"/>
        </w:rPr>
        <w:t>56а</w:t>
      </w:r>
      <w:r w:rsidRPr="00CA7DF7">
        <w:rPr>
          <w:rFonts w:ascii="Times New Roman" w:hAnsi="Times New Roman" w:cs="Times New Roman"/>
          <w:sz w:val="20"/>
          <w:szCs w:val="20"/>
        </w:rPr>
        <w:t>; E-mail:</w:t>
      </w:r>
      <w:r>
        <w:rPr>
          <w:rFonts w:ascii="Times New Roman" w:hAnsi="Times New Roman" w:cs="Times New Roman"/>
          <w:sz w:val="20"/>
          <w:szCs w:val="20"/>
        </w:rPr>
        <w:t xml:space="preserve"> </w:t>
      </w:r>
      <w:proofErr w:type="spellStart"/>
      <w:r>
        <w:rPr>
          <w:rFonts w:ascii="Times New Roman" w:hAnsi="Times New Roman" w:cs="Times New Roman"/>
          <w:sz w:val="20"/>
          <w:szCs w:val="20"/>
          <w:lang w:val="en-US"/>
        </w:rPr>
        <w:t>ekaterina</w:t>
      </w:r>
      <w:proofErr w:type="spellEnd"/>
      <w:r w:rsidRPr="00E825D3">
        <w:rPr>
          <w:rFonts w:ascii="Times New Roman" w:hAnsi="Times New Roman" w:cs="Times New Roman"/>
          <w:sz w:val="20"/>
          <w:szCs w:val="20"/>
        </w:rPr>
        <w:t>-</w:t>
      </w:r>
      <w:proofErr w:type="spellStart"/>
      <w:r>
        <w:rPr>
          <w:rFonts w:ascii="Times New Roman" w:hAnsi="Times New Roman" w:cs="Times New Roman"/>
          <w:sz w:val="20"/>
          <w:szCs w:val="20"/>
          <w:lang w:val="en-US"/>
        </w:rPr>
        <w:t>razgylina</w:t>
      </w:r>
      <w:proofErr w:type="spellEnd"/>
      <w:r w:rsidRPr="00E825D3">
        <w:rPr>
          <w:rFonts w:ascii="Times New Roman" w:hAnsi="Times New Roman" w:cs="Times New Roman"/>
          <w:sz w:val="20"/>
          <w:szCs w:val="20"/>
        </w:rPr>
        <w:t>@</w:t>
      </w:r>
      <w:proofErr w:type="spellStart"/>
      <w:r>
        <w:rPr>
          <w:rFonts w:ascii="Times New Roman" w:hAnsi="Times New Roman" w:cs="Times New Roman"/>
          <w:sz w:val="20"/>
          <w:szCs w:val="20"/>
          <w:lang w:val="en-US"/>
        </w:rPr>
        <w:t>yandex</w:t>
      </w:r>
      <w:proofErr w:type="spellEnd"/>
      <w:r w:rsidRPr="00E825D3">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r w:rsidRPr="00CA7DF7">
        <w:rPr>
          <w:rFonts w:ascii="Times New Roman" w:hAnsi="Times New Roman" w:cs="Times New Roman"/>
          <w:sz w:val="20"/>
          <w:szCs w:val="20"/>
        </w:rPr>
        <w:t>).</w:t>
      </w:r>
    </w:p>
    <w:p w14:paraId="76CF8C42" w14:textId="711EA940" w:rsidR="00813A74" w:rsidRPr="00CA7DF7" w:rsidRDefault="00813A74" w:rsidP="006D6890">
      <w:pPr>
        <w:spacing w:line="240" w:lineRule="auto"/>
        <w:jc w:val="both"/>
        <w:rPr>
          <w:rFonts w:ascii="Times New Roman" w:hAnsi="Times New Roman" w:cs="Times New Roman"/>
          <w:sz w:val="20"/>
          <w:szCs w:val="20"/>
        </w:rPr>
      </w:pPr>
      <w:r w:rsidRPr="00813A74">
        <w:rPr>
          <w:rFonts w:ascii="Times New Roman" w:hAnsi="Times New Roman" w:cs="Times New Roman"/>
          <w:sz w:val="20"/>
          <w:szCs w:val="20"/>
        </w:rPr>
        <w:t>Статья подготовлена в соответствии с государственным заданием для Вологодского научного центра Российской академии наук по теме НИР № FMGZ-2022-0012 «Факторы и методы устойчивого социально-экономического развития территориальных систем в изменяющихся условиях внешней и внутренней среды».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33A12"/>
    <w:multiLevelType w:val="hybridMultilevel"/>
    <w:tmpl w:val="6FC2ECB0"/>
    <w:lvl w:ilvl="0" w:tplc="1088A848">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B12A0D"/>
    <w:multiLevelType w:val="hybridMultilevel"/>
    <w:tmpl w:val="87A40410"/>
    <w:lvl w:ilvl="0" w:tplc="0419000D">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 w15:restartNumberingAfterBreak="0">
    <w:nsid w:val="312A49F9"/>
    <w:multiLevelType w:val="hybridMultilevel"/>
    <w:tmpl w:val="4772567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C4378DF"/>
    <w:multiLevelType w:val="hybridMultilevel"/>
    <w:tmpl w:val="BC36E04A"/>
    <w:lvl w:ilvl="0" w:tplc="E244E6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4CA944BC"/>
    <w:multiLevelType w:val="hybridMultilevel"/>
    <w:tmpl w:val="64C2E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176DBA"/>
    <w:multiLevelType w:val="hybridMultilevel"/>
    <w:tmpl w:val="87D6A43E"/>
    <w:lvl w:ilvl="0" w:tplc="E244E6F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56"/>
    <w:rsid w:val="00055772"/>
    <w:rsid w:val="000D55B5"/>
    <w:rsid w:val="0012764F"/>
    <w:rsid w:val="002D5756"/>
    <w:rsid w:val="00341DD8"/>
    <w:rsid w:val="00347C5E"/>
    <w:rsid w:val="0058662A"/>
    <w:rsid w:val="005E587C"/>
    <w:rsid w:val="006D6890"/>
    <w:rsid w:val="007C5DE0"/>
    <w:rsid w:val="00813A74"/>
    <w:rsid w:val="00903D2F"/>
    <w:rsid w:val="009D0D95"/>
    <w:rsid w:val="00A25484"/>
    <w:rsid w:val="00A90158"/>
    <w:rsid w:val="00B34755"/>
    <w:rsid w:val="00B4560B"/>
    <w:rsid w:val="00C000CE"/>
    <w:rsid w:val="00C63A7E"/>
    <w:rsid w:val="00D47739"/>
    <w:rsid w:val="00E82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E5852"/>
  <w15:chartTrackingRefBased/>
  <w15:docId w15:val="{ED0CEDE5-BD78-4E46-99B4-8E106FD8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756"/>
    <w:pPr>
      <w:spacing w:line="259" w:lineRule="auto"/>
    </w:pPr>
    <w:rPr>
      <w:kern w:val="0"/>
      <w:sz w:val="22"/>
      <w:szCs w:val="22"/>
      <w14:ligatures w14:val="none"/>
    </w:rPr>
  </w:style>
  <w:style w:type="paragraph" w:styleId="1">
    <w:name w:val="heading 1"/>
    <w:basedOn w:val="a"/>
    <w:next w:val="a"/>
    <w:link w:val="10"/>
    <w:uiPriority w:val="9"/>
    <w:qFormat/>
    <w:rsid w:val="002D57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D57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D575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D575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D575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D575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D575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D575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D575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575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D575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D575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D575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D575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D575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D5756"/>
    <w:rPr>
      <w:rFonts w:eastAsiaTheme="majorEastAsia" w:cstheme="majorBidi"/>
      <w:color w:val="595959" w:themeColor="text1" w:themeTint="A6"/>
    </w:rPr>
  </w:style>
  <w:style w:type="character" w:customStyle="1" w:styleId="80">
    <w:name w:val="Заголовок 8 Знак"/>
    <w:basedOn w:val="a0"/>
    <w:link w:val="8"/>
    <w:uiPriority w:val="9"/>
    <w:semiHidden/>
    <w:rsid w:val="002D575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D5756"/>
    <w:rPr>
      <w:rFonts w:eastAsiaTheme="majorEastAsia" w:cstheme="majorBidi"/>
      <w:color w:val="272727" w:themeColor="text1" w:themeTint="D8"/>
    </w:rPr>
  </w:style>
  <w:style w:type="paragraph" w:styleId="a3">
    <w:name w:val="Title"/>
    <w:basedOn w:val="a"/>
    <w:next w:val="a"/>
    <w:link w:val="a4"/>
    <w:uiPriority w:val="10"/>
    <w:qFormat/>
    <w:rsid w:val="002D57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D57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D575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D575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D5756"/>
    <w:pPr>
      <w:spacing w:before="160"/>
      <w:jc w:val="center"/>
    </w:pPr>
    <w:rPr>
      <w:i/>
      <w:iCs/>
      <w:color w:val="404040" w:themeColor="text1" w:themeTint="BF"/>
    </w:rPr>
  </w:style>
  <w:style w:type="character" w:customStyle="1" w:styleId="22">
    <w:name w:val="Цитата 2 Знак"/>
    <w:basedOn w:val="a0"/>
    <w:link w:val="21"/>
    <w:uiPriority w:val="29"/>
    <w:rsid w:val="002D5756"/>
    <w:rPr>
      <w:i/>
      <w:iCs/>
      <w:color w:val="404040" w:themeColor="text1" w:themeTint="BF"/>
    </w:rPr>
  </w:style>
  <w:style w:type="paragraph" w:styleId="a7">
    <w:name w:val="List Paragraph"/>
    <w:basedOn w:val="a"/>
    <w:uiPriority w:val="34"/>
    <w:qFormat/>
    <w:rsid w:val="002D5756"/>
    <w:pPr>
      <w:ind w:left="720"/>
      <w:contextualSpacing/>
    </w:pPr>
  </w:style>
  <w:style w:type="character" w:styleId="a8">
    <w:name w:val="Intense Emphasis"/>
    <w:basedOn w:val="a0"/>
    <w:uiPriority w:val="21"/>
    <w:qFormat/>
    <w:rsid w:val="002D5756"/>
    <w:rPr>
      <w:i/>
      <w:iCs/>
      <w:color w:val="0F4761" w:themeColor="accent1" w:themeShade="BF"/>
    </w:rPr>
  </w:style>
  <w:style w:type="paragraph" w:styleId="a9">
    <w:name w:val="Intense Quote"/>
    <w:basedOn w:val="a"/>
    <w:next w:val="a"/>
    <w:link w:val="aa"/>
    <w:uiPriority w:val="30"/>
    <w:qFormat/>
    <w:rsid w:val="002D57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D5756"/>
    <w:rPr>
      <w:i/>
      <w:iCs/>
      <w:color w:val="0F4761" w:themeColor="accent1" w:themeShade="BF"/>
    </w:rPr>
  </w:style>
  <w:style w:type="character" w:styleId="ab">
    <w:name w:val="Intense Reference"/>
    <w:basedOn w:val="a0"/>
    <w:uiPriority w:val="32"/>
    <w:qFormat/>
    <w:rsid w:val="002D5756"/>
    <w:rPr>
      <w:b/>
      <w:bCs/>
      <w:smallCaps/>
      <w:color w:val="0F4761" w:themeColor="accent1" w:themeShade="BF"/>
      <w:spacing w:val="5"/>
    </w:rPr>
  </w:style>
  <w:style w:type="paragraph" w:styleId="ac">
    <w:name w:val="footnote text"/>
    <w:aliases w:val="Знак25,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Знак,Знак"/>
    <w:basedOn w:val="a"/>
    <w:link w:val="ad"/>
    <w:uiPriority w:val="99"/>
    <w:unhideWhenUsed/>
    <w:rsid w:val="002D5756"/>
    <w:pPr>
      <w:spacing w:after="0" w:line="240" w:lineRule="auto"/>
    </w:pPr>
    <w:rPr>
      <w:sz w:val="20"/>
      <w:szCs w:val="20"/>
    </w:rPr>
  </w:style>
  <w:style w:type="character" w:customStyle="1" w:styleId="ad">
    <w:name w:val="Текст сноски Знак"/>
    <w:aliases w:val="Знак25 Знак,Текст сноски1 Знак,Текст сноски Знак Знак1 Знак,Текст сноски Знак Знак Знак Знак Знак Знак1,Текст сноски Знак Знак Знак Знак Знак Знак Знак,-++ Знак Знак,Знак Знак"/>
    <w:basedOn w:val="a0"/>
    <w:link w:val="ac"/>
    <w:uiPriority w:val="99"/>
    <w:rsid w:val="002D5756"/>
    <w:rPr>
      <w:kern w:val="0"/>
      <w:sz w:val="20"/>
      <w:szCs w:val="20"/>
      <w14:ligatures w14:val="none"/>
    </w:rPr>
  </w:style>
  <w:style w:type="character" w:styleId="ae">
    <w:name w:val="footnote reference"/>
    <w:aliases w:val="Знак сноски-FN,Ссылка на сноску 45,Appel note de bas de page,Знак сноски 1,Ciae niinee-FN,Referencia nota al pie,Стиль Знак сноски,Appel note de bas de page + 1...,SUPERS,fr,Used by Word for Help footnote symbols,анкета сноска,Ciae niinee 1"/>
    <w:basedOn w:val="a0"/>
    <w:uiPriority w:val="99"/>
    <w:unhideWhenUsed/>
    <w:rsid w:val="002D5756"/>
    <w:rPr>
      <w:vertAlign w:val="superscript"/>
    </w:rPr>
  </w:style>
  <w:style w:type="character" w:styleId="af">
    <w:name w:val="Hyperlink"/>
    <w:basedOn w:val="a0"/>
    <w:uiPriority w:val="99"/>
    <w:unhideWhenUsed/>
    <w:rsid w:val="00813A74"/>
    <w:rPr>
      <w:color w:val="467886" w:themeColor="hyperlink"/>
      <w:u w:val="single"/>
    </w:rPr>
  </w:style>
  <w:style w:type="character" w:styleId="af0">
    <w:name w:val="Unresolved Mention"/>
    <w:basedOn w:val="a0"/>
    <w:uiPriority w:val="99"/>
    <w:semiHidden/>
    <w:unhideWhenUsed/>
    <w:rsid w:val="00813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D7C67-407F-478D-AAA3-8689444CB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Pages>
  <Words>1610</Words>
  <Characters>9181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Д. Копытова</dc:creator>
  <cp:keywords/>
  <dc:description/>
  <cp:lastModifiedBy>user</cp:lastModifiedBy>
  <cp:revision>10</cp:revision>
  <dcterms:created xsi:type="dcterms:W3CDTF">2024-05-08T10:46:00Z</dcterms:created>
  <dcterms:modified xsi:type="dcterms:W3CDTF">2024-05-12T18:46:00Z</dcterms:modified>
</cp:coreProperties>
</file>