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4AA5" w:rsidRPr="0040275B" w:rsidRDefault="00F726FA" w:rsidP="0040275B">
      <w:pPr>
        <w:spacing w:after="0" w:line="240" w:lineRule="auto"/>
        <w:contextualSpacing/>
        <w:rPr>
          <w:rFonts w:ascii="Times New Roman" w:hAnsi="Times New Roman"/>
          <w:b/>
          <w:sz w:val="24"/>
          <w:szCs w:val="24"/>
        </w:rPr>
      </w:pPr>
      <w:r w:rsidRPr="0040275B">
        <w:rPr>
          <w:rFonts w:ascii="Times New Roman" w:hAnsi="Times New Roman"/>
          <w:b/>
          <w:sz w:val="24"/>
          <w:szCs w:val="24"/>
        </w:rPr>
        <w:t>УДК 34</w:t>
      </w:r>
    </w:p>
    <w:p w:rsidR="00E8612B" w:rsidRDefault="00E8612B" w:rsidP="0040275B">
      <w:pPr>
        <w:spacing w:after="0" w:line="240" w:lineRule="auto"/>
        <w:contextualSpacing/>
        <w:jc w:val="right"/>
        <w:rPr>
          <w:rFonts w:ascii="Times New Roman" w:hAnsi="Times New Roman"/>
          <w:b/>
          <w:sz w:val="24"/>
          <w:szCs w:val="24"/>
          <w:lang w:val="en-US"/>
        </w:rPr>
      </w:pPr>
      <w:r w:rsidRPr="0040275B">
        <w:rPr>
          <w:rFonts w:ascii="Times New Roman" w:hAnsi="Times New Roman"/>
          <w:b/>
          <w:sz w:val="24"/>
          <w:szCs w:val="24"/>
        </w:rPr>
        <w:t>Оразнурова А.Р.</w:t>
      </w:r>
    </w:p>
    <w:p w:rsidR="0040275B" w:rsidRPr="0040275B" w:rsidRDefault="0040275B" w:rsidP="0040275B">
      <w:pPr>
        <w:spacing w:after="0" w:line="240" w:lineRule="auto"/>
        <w:contextualSpacing/>
        <w:jc w:val="right"/>
        <w:rPr>
          <w:rFonts w:ascii="Times New Roman" w:hAnsi="Times New Roman"/>
          <w:b/>
          <w:sz w:val="24"/>
          <w:szCs w:val="24"/>
          <w:lang w:val="en-US"/>
        </w:rPr>
      </w:pPr>
    </w:p>
    <w:p w:rsidR="00280AF0" w:rsidRPr="0040275B" w:rsidRDefault="00280AF0" w:rsidP="0040275B">
      <w:pPr>
        <w:widowControl w:val="0"/>
        <w:autoSpaceDE w:val="0"/>
        <w:autoSpaceDN w:val="0"/>
        <w:adjustRightInd w:val="0"/>
        <w:spacing w:after="0" w:line="240" w:lineRule="auto"/>
        <w:ind w:left="680"/>
        <w:contextualSpacing/>
        <w:jc w:val="center"/>
        <w:rPr>
          <w:rFonts w:ascii="Times New Roman" w:hAnsi="Times New Roman"/>
          <w:sz w:val="24"/>
          <w:szCs w:val="24"/>
        </w:rPr>
      </w:pPr>
      <w:r w:rsidRPr="0040275B">
        <w:rPr>
          <w:rFonts w:ascii="Times New Roman" w:hAnsi="Times New Roman"/>
          <w:b/>
          <w:caps/>
          <w:sz w:val="24"/>
          <w:szCs w:val="24"/>
        </w:rPr>
        <w:t>Проблемы оценки эффективности проектов госу</w:t>
      </w:r>
      <w:r w:rsidR="001C796E" w:rsidRPr="0040275B">
        <w:rPr>
          <w:rFonts w:ascii="Times New Roman" w:hAnsi="Times New Roman"/>
          <w:b/>
          <w:caps/>
          <w:sz w:val="24"/>
          <w:szCs w:val="24"/>
        </w:rPr>
        <w:t>дарственно-частного партнерства: Методологический подход</w:t>
      </w:r>
      <w:r w:rsidR="001C796E" w:rsidRPr="0040275B">
        <w:rPr>
          <w:rFonts w:ascii="Times New Roman" w:hAnsi="Times New Roman"/>
          <w:sz w:val="24"/>
          <w:szCs w:val="24"/>
        </w:rPr>
        <w:t>.</w:t>
      </w:r>
    </w:p>
    <w:p w:rsidR="00457A0D" w:rsidRPr="0040275B" w:rsidRDefault="00457A0D" w:rsidP="0040275B">
      <w:pPr>
        <w:widowControl w:val="0"/>
        <w:autoSpaceDE w:val="0"/>
        <w:autoSpaceDN w:val="0"/>
        <w:adjustRightInd w:val="0"/>
        <w:spacing w:after="0" w:line="240" w:lineRule="auto"/>
        <w:ind w:left="680"/>
        <w:contextualSpacing/>
        <w:jc w:val="center"/>
        <w:rPr>
          <w:rFonts w:ascii="Times New Roman" w:hAnsi="Times New Roman"/>
          <w:sz w:val="24"/>
          <w:szCs w:val="24"/>
        </w:rPr>
      </w:pPr>
    </w:p>
    <w:p w:rsidR="00280AF0"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i/>
          <w:sz w:val="24"/>
          <w:szCs w:val="24"/>
        </w:rPr>
      </w:pPr>
      <w:r w:rsidRPr="0040275B">
        <w:rPr>
          <w:rFonts w:ascii="Times New Roman" w:hAnsi="Times New Roman"/>
          <w:b/>
          <w:bCs/>
          <w:sz w:val="24"/>
          <w:szCs w:val="24"/>
        </w:rPr>
        <w:t xml:space="preserve">Аннотация: </w:t>
      </w:r>
      <w:r w:rsidRPr="0040275B">
        <w:rPr>
          <w:rFonts w:ascii="Times New Roman" w:hAnsi="Times New Roman"/>
          <w:i/>
          <w:sz w:val="24"/>
          <w:szCs w:val="24"/>
        </w:rPr>
        <w:t xml:space="preserve">В статье рассмотрены актуальные на сегодняшний день проблемы формирования </w:t>
      </w:r>
      <w:r w:rsidR="00A056C2" w:rsidRPr="0040275B">
        <w:rPr>
          <w:rFonts w:ascii="Times New Roman" w:hAnsi="Times New Roman"/>
          <w:i/>
          <w:sz w:val="24"/>
          <w:szCs w:val="24"/>
        </w:rPr>
        <w:t xml:space="preserve">и выбора </w:t>
      </w:r>
      <w:r w:rsidRPr="0040275B">
        <w:rPr>
          <w:rFonts w:ascii="Times New Roman" w:hAnsi="Times New Roman"/>
          <w:i/>
          <w:sz w:val="24"/>
          <w:szCs w:val="24"/>
        </w:rPr>
        <w:t>методики оценки проектов государственно-частного партнерства в России</w:t>
      </w:r>
      <w:r w:rsidR="00A056C2" w:rsidRPr="0040275B">
        <w:rPr>
          <w:rFonts w:ascii="Times New Roman" w:hAnsi="Times New Roman"/>
          <w:i/>
          <w:sz w:val="24"/>
          <w:szCs w:val="24"/>
        </w:rPr>
        <w:t>,</w:t>
      </w:r>
      <w:r w:rsidRPr="0040275B">
        <w:rPr>
          <w:rFonts w:ascii="Times New Roman" w:hAnsi="Times New Roman"/>
          <w:i/>
          <w:sz w:val="24"/>
          <w:szCs w:val="24"/>
        </w:rPr>
        <w:t xml:space="preserve"> применения зарубежного опыта. </w:t>
      </w:r>
      <w:r w:rsidR="00A056C2" w:rsidRPr="0040275B">
        <w:rPr>
          <w:rFonts w:ascii="Times New Roman" w:hAnsi="Times New Roman"/>
          <w:i/>
          <w:sz w:val="24"/>
          <w:szCs w:val="24"/>
        </w:rPr>
        <w:t>Выявлено, что д</w:t>
      </w:r>
      <w:r w:rsidRPr="0040275B">
        <w:rPr>
          <w:rFonts w:ascii="Times New Roman" w:hAnsi="Times New Roman"/>
          <w:i/>
          <w:sz w:val="24"/>
          <w:szCs w:val="24"/>
        </w:rPr>
        <w:t>ать оценку эффективности проектов до сих пор остается проблемой в мировой практике применения ГЧП, поскольку основные методики противоречивы, но взаимозависимы.</w:t>
      </w:r>
    </w:p>
    <w:p w:rsidR="00457A0D"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i/>
          <w:sz w:val="24"/>
          <w:szCs w:val="24"/>
        </w:rPr>
      </w:pPr>
      <w:r w:rsidRPr="0040275B">
        <w:rPr>
          <w:rFonts w:ascii="Times New Roman" w:hAnsi="Times New Roman"/>
          <w:b/>
          <w:bCs/>
          <w:sz w:val="24"/>
          <w:szCs w:val="24"/>
        </w:rPr>
        <w:t xml:space="preserve">Ключевые слова: </w:t>
      </w:r>
      <w:r w:rsidRPr="0040275B">
        <w:rPr>
          <w:rFonts w:ascii="Times New Roman" w:hAnsi="Times New Roman"/>
          <w:i/>
          <w:sz w:val="24"/>
          <w:szCs w:val="24"/>
        </w:rPr>
        <w:t>оценка эффективности, государственно-частное пар</w:t>
      </w:r>
      <w:r w:rsidR="005E2A18" w:rsidRPr="0040275B">
        <w:rPr>
          <w:rFonts w:ascii="Times New Roman" w:hAnsi="Times New Roman"/>
          <w:i/>
          <w:sz w:val="24"/>
          <w:szCs w:val="24"/>
        </w:rPr>
        <w:t>тнерство, эффективность проекта.</w:t>
      </w:r>
    </w:p>
    <w:p w:rsidR="005E2A18" w:rsidRPr="0040275B" w:rsidRDefault="005E2A18" w:rsidP="0040275B">
      <w:pPr>
        <w:widowControl w:val="0"/>
        <w:autoSpaceDE w:val="0"/>
        <w:autoSpaceDN w:val="0"/>
        <w:adjustRightInd w:val="0"/>
        <w:spacing w:after="0" w:line="240" w:lineRule="auto"/>
        <w:ind w:firstLine="709"/>
        <w:contextualSpacing/>
        <w:jc w:val="both"/>
        <w:rPr>
          <w:rFonts w:ascii="Times New Roman" w:hAnsi="Times New Roman"/>
          <w:i/>
          <w:sz w:val="24"/>
          <w:szCs w:val="24"/>
        </w:rPr>
      </w:pPr>
    </w:p>
    <w:p w:rsidR="00280AF0"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 xml:space="preserve">На современном этапе государственно-частное партнерство (ГЧП) является ключом к взаимодействию между государством и частным сектором экономики, хорошо зарекомендовавшим себя в развитых странах и желательным для применения в Российской Федерации. Как показывает практика, взаимодействие государства и бизнеса является фундаментом для развития стабильной рыночной экономики. Стоит отметить, что готовность государства взаимодействовать с бизнесом в условиях посткризисного времени влияет на реализацию возможностей государственно-частного партнерства. Эта форма дает альтернативу для </w:t>
      </w:r>
      <w:r w:rsidR="0078033A" w:rsidRPr="0040275B">
        <w:rPr>
          <w:rFonts w:ascii="Times New Roman" w:hAnsi="Times New Roman"/>
          <w:sz w:val="24"/>
          <w:szCs w:val="24"/>
        </w:rPr>
        <w:t>преодоления</w:t>
      </w:r>
      <w:r w:rsidRPr="0040275B">
        <w:rPr>
          <w:rFonts w:ascii="Times New Roman" w:hAnsi="Times New Roman"/>
          <w:sz w:val="24"/>
          <w:szCs w:val="24"/>
        </w:rPr>
        <w:t xml:space="preserve"> ограниченных возможностей государства по финансированию инфраструктурных и социально значимых проектов</w:t>
      </w:r>
      <w:r w:rsidR="00A056C2" w:rsidRPr="0040275B">
        <w:rPr>
          <w:rFonts w:ascii="Times New Roman" w:hAnsi="Times New Roman"/>
          <w:sz w:val="24"/>
          <w:szCs w:val="24"/>
        </w:rPr>
        <w:t xml:space="preserve">, а также позволяет </w:t>
      </w:r>
      <w:r w:rsidRPr="0040275B">
        <w:rPr>
          <w:rFonts w:ascii="Times New Roman" w:hAnsi="Times New Roman"/>
          <w:sz w:val="24"/>
          <w:szCs w:val="24"/>
        </w:rPr>
        <w:t xml:space="preserve">эффективно использовать преимущества частной формы собственности для повышения качества услуг </w:t>
      </w:r>
      <w:r w:rsidR="0078033A" w:rsidRPr="0040275B">
        <w:rPr>
          <w:rFonts w:ascii="Times New Roman" w:hAnsi="Times New Roman"/>
          <w:sz w:val="24"/>
          <w:szCs w:val="24"/>
        </w:rPr>
        <w:t>и</w:t>
      </w:r>
      <w:r w:rsidR="00A056C2" w:rsidRPr="0040275B">
        <w:rPr>
          <w:rFonts w:ascii="Times New Roman" w:hAnsi="Times New Roman"/>
          <w:sz w:val="24"/>
          <w:szCs w:val="24"/>
        </w:rPr>
        <w:t xml:space="preserve"> совершенствования системы</w:t>
      </w:r>
      <w:r w:rsidRPr="0040275B">
        <w:rPr>
          <w:rFonts w:ascii="Times New Roman" w:hAnsi="Times New Roman"/>
          <w:sz w:val="24"/>
          <w:szCs w:val="24"/>
        </w:rPr>
        <w:t xml:space="preserve"> управления объектами общественной инфраструктуры</w:t>
      </w:r>
      <w:r w:rsidR="00086241" w:rsidRPr="0040275B">
        <w:rPr>
          <w:rFonts w:ascii="Times New Roman" w:hAnsi="Times New Roman"/>
          <w:sz w:val="24"/>
          <w:szCs w:val="24"/>
        </w:rPr>
        <w:t xml:space="preserve"> [2].</w:t>
      </w:r>
    </w:p>
    <w:p w:rsidR="00280AF0"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 xml:space="preserve">В настоящее время нет определенного единого метода для оценки эффективности проектов ГЧП, но на практике применяется </w:t>
      </w:r>
      <w:r w:rsidR="00A056C2" w:rsidRPr="0040275B">
        <w:rPr>
          <w:rFonts w:ascii="Times New Roman" w:hAnsi="Times New Roman"/>
          <w:sz w:val="24"/>
          <w:szCs w:val="24"/>
        </w:rPr>
        <w:t>определенный</w:t>
      </w:r>
      <w:r w:rsidRPr="0040275B">
        <w:rPr>
          <w:rFonts w:ascii="Times New Roman" w:hAnsi="Times New Roman"/>
          <w:sz w:val="24"/>
          <w:szCs w:val="24"/>
        </w:rPr>
        <w:t xml:space="preserve"> алгоритм реализации данных </w:t>
      </w:r>
      <w:r w:rsidR="0078033A" w:rsidRPr="0040275B">
        <w:rPr>
          <w:rFonts w:ascii="Times New Roman" w:hAnsi="Times New Roman"/>
          <w:sz w:val="24"/>
          <w:szCs w:val="24"/>
        </w:rPr>
        <w:t>проектов,</w:t>
      </w:r>
      <w:r w:rsidRPr="0040275B">
        <w:rPr>
          <w:rFonts w:ascii="Times New Roman" w:hAnsi="Times New Roman"/>
          <w:sz w:val="24"/>
          <w:szCs w:val="24"/>
        </w:rPr>
        <w:t xml:space="preserve"> как в России, так и за</w:t>
      </w:r>
      <w:r w:rsidR="0078033A" w:rsidRPr="0040275B">
        <w:rPr>
          <w:rFonts w:ascii="Times New Roman" w:hAnsi="Times New Roman"/>
          <w:sz w:val="24"/>
          <w:szCs w:val="24"/>
        </w:rPr>
        <w:t xml:space="preserve"> </w:t>
      </w:r>
      <w:r w:rsidRPr="0040275B">
        <w:rPr>
          <w:rFonts w:ascii="Times New Roman" w:hAnsi="Times New Roman"/>
          <w:sz w:val="24"/>
          <w:szCs w:val="24"/>
        </w:rPr>
        <w:t>рубежом. Стоит отметить, что оценку эффективности необходимо осуществлять на этапе прогнозирования и проектирования, поскольку это позволяет избежать ненужных затрат: природных, человеческих, а также финансовых ресурсов на последующих этапах осуществления проекта. Оценка производится по установленным экономическим показателям, которые одинаково применяются как для инвестиционных проектов, так и для проектов государственно-частного партнерства.</w:t>
      </w:r>
    </w:p>
    <w:p w:rsidR="00280AF0"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 xml:space="preserve">Принимая во внимание, что значительное количество проектов ГЧП </w:t>
      </w:r>
      <w:r w:rsidR="0078033A" w:rsidRPr="0040275B">
        <w:rPr>
          <w:rFonts w:ascii="Times New Roman" w:hAnsi="Times New Roman"/>
          <w:sz w:val="24"/>
          <w:szCs w:val="24"/>
        </w:rPr>
        <w:t>взаимосвязаны</w:t>
      </w:r>
      <w:r w:rsidRPr="0040275B">
        <w:rPr>
          <w:rFonts w:ascii="Times New Roman" w:hAnsi="Times New Roman"/>
          <w:sz w:val="24"/>
          <w:szCs w:val="24"/>
        </w:rPr>
        <w:t xml:space="preserve"> с инвестициями, для выявления их эффективности исследователи в основном применяют показатели и методы проектного анализа (срока окупаемости, внутренней ставки доходности, метод дисконтирования, метод реальных опционов и т.п.). Этапы оценки эффективности проектов, выполняемых на принципах ГЧП в России, </w:t>
      </w:r>
      <w:r w:rsidR="0078033A" w:rsidRPr="0040275B">
        <w:rPr>
          <w:rFonts w:ascii="Times New Roman" w:hAnsi="Times New Roman"/>
          <w:sz w:val="24"/>
          <w:szCs w:val="24"/>
        </w:rPr>
        <w:t>построены</w:t>
      </w:r>
      <w:r w:rsidRPr="0040275B">
        <w:rPr>
          <w:rFonts w:ascii="Times New Roman" w:hAnsi="Times New Roman"/>
          <w:sz w:val="24"/>
          <w:szCs w:val="24"/>
        </w:rPr>
        <w:t xml:space="preserve"> на идеях Всемирного банка</w:t>
      </w:r>
      <w:r w:rsidR="00B066BE" w:rsidRPr="0040275B">
        <w:rPr>
          <w:rFonts w:ascii="Times New Roman" w:hAnsi="Times New Roman"/>
          <w:color w:val="FF0000"/>
          <w:sz w:val="24"/>
          <w:szCs w:val="24"/>
        </w:rPr>
        <w:t xml:space="preserve"> </w:t>
      </w:r>
      <w:r w:rsidR="00B066BE" w:rsidRPr="0040275B">
        <w:rPr>
          <w:rFonts w:ascii="Times New Roman" w:hAnsi="Times New Roman"/>
          <w:sz w:val="24"/>
          <w:szCs w:val="24"/>
        </w:rPr>
        <w:t>[3]</w:t>
      </w:r>
      <w:r w:rsidRPr="0040275B">
        <w:rPr>
          <w:rFonts w:ascii="Times New Roman" w:hAnsi="Times New Roman"/>
          <w:sz w:val="24"/>
          <w:szCs w:val="24"/>
        </w:rPr>
        <w:t xml:space="preserve">, поэтому российский опыт проведения оценки имеет схожесть с мировым опытом. Различия видны при оценке сравнительного преимущества проектов ГЧП, по методике утвержденной Приказом Минэкономразвития России от 30.11.2015 </w:t>
      </w:r>
      <w:r w:rsidRPr="0040275B">
        <w:rPr>
          <w:rFonts w:ascii="Times New Roman" w:hAnsi="Times New Roman"/>
          <w:sz w:val="24"/>
          <w:szCs w:val="24"/>
          <w:lang w:val="en-US"/>
        </w:rPr>
        <w:t>N</w:t>
      </w:r>
      <w:r w:rsidRPr="0040275B">
        <w:rPr>
          <w:rFonts w:ascii="Times New Roman" w:hAnsi="Times New Roman"/>
          <w:sz w:val="24"/>
          <w:szCs w:val="24"/>
        </w:rPr>
        <w:t xml:space="preserve">894 </w:t>
      </w:r>
      <w:r w:rsidR="00A056C2" w:rsidRPr="0040275B">
        <w:rPr>
          <w:rFonts w:ascii="Times New Roman" w:hAnsi="Times New Roman"/>
          <w:sz w:val="24"/>
          <w:szCs w:val="24"/>
        </w:rPr>
        <w:t>«Об утверждении Методики оценки эффективности проекта государственно-частного партнерства, проекта муниципально-частного партнерства и определения их сравнительного преимущества»</w:t>
      </w:r>
      <w:r w:rsidRPr="0040275B">
        <w:rPr>
          <w:rFonts w:ascii="Times New Roman" w:hAnsi="Times New Roman"/>
          <w:sz w:val="24"/>
          <w:szCs w:val="24"/>
        </w:rPr>
        <w:t xml:space="preserve"> (далее-Методика)</w:t>
      </w:r>
      <w:r w:rsidR="006E3DF6" w:rsidRPr="0040275B">
        <w:rPr>
          <w:rFonts w:ascii="Times New Roman" w:hAnsi="Times New Roman"/>
          <w:sz w:val="24"/>
          <w:szCs w:val="24"/>
        </w:rPr>
        <w:t xml:space="preserve"> [1]</w:t>
      </w:r>
      <w:r w:rsidRPr="0040275B">
        <w:rPr>
          <w:rFonts w:ascii="Times New Roman" w:hAnsi="Times New Roman"/>
          <w:sz w:val="24"/>
          <w:szCs w:val="24"/>
        </w:rPr>
        <w:t xml:space="preserve">. Также отличия видны и в методике </w:t>
      </w:r>
      <w:r w:rsidR="0078033A" w:rsidRPr="0040275B">
        <w:rPr>
          <w:rFonts w:ascii="Times New Roman" w:hAnsi="Times New Roman"/>
          <w:sz w:val="24"/>
          <w:szCs w:val="24"/>
        </w:rPr>
        <w:t>расчета</w:t>
      </w:r>
      <w:r w:rsidRPr="0040275B">
        <w:rPr>
          <w:rFonts w:ascii="Times New Roman" w:hAnsi="Times New Roman"/>
          <w:sz w:val="24"/>
          <w:szCs w:val="24"/>
        </w:rPr>
        <w:t xml:space="preserve"> показателей эффективности региональных инвестиционных проектов, претендующих на получение государственной поддержки за счет бюджетных ассигнований Инвестиционного фонда РФ. Методика предусматривает проведение оценки экономической, финансовой, бюджетной эффе</w:t>
      </w:r>
      <w:r w:rsidR="006E3DF6" w:rsidRPr="0040275B">
        <w:rPr>
          <w:rFonts w:ascii="Times New Roman" w:hAnsi="Times New Roman"/>
          <w:sz w:val="24"/>
          <w:szCs w:val="24"/>
        </w:rPr>
        <w:t>ктивности и социального эффекта</w:t>
      </w:r>
      <w:r w:rsidRPr="0040275B">
        <w:rPr>
          <w:rFonts w:ascii="Times New Roman" w:hAnsi="Times New Roman"/>
          <w:sz w:val="24"/>
          <w:szCs w:val="24"/>
        </w:rPr>
        <w:t>.</w:t>
      </w:r>
    </w:p>
    <w:p w:rsidR="00280AF0"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 xml:space="preserve">Процедура заключения соглашения осуществляется </w:t>
      </w:r>
      <w:r w:rsidR="0078033A" w:rsidRPr="0040275B">
        <w:rPr>
          <w:rFonts w:ascii="Times New Roman" w:hAnsi="Times New Roman"/>
          <w:sz w:val="24"/>
          <w:szCs w:val="24"/>
        </w:rPr>
        <w:t>следующим</w:t>
      </w:r>
      <w:r w:rsidRPr="0040275B">
        <w:rPr>
          <w:rFonts w:ascii="Times New Roman" w:hAnsi="Times New Roman"/>
          <w:sz w:val="24"/>
          <w:szCs w:val="24"/>
        </w:rPr>
        <w:t xml:space="preserve"> образом: разрабатывается </w:t>
      </w:r>
      <w:r w:rsidRPr="0040275B">
        <w:rPr>
          <w:rFonts w:ascii="Times New Roman" w:hAnsi="Times New Roman"/>
          <w:sz w:val="24"/>
          <w:szCs w:val="24"/>
        </w:rPr>
        <w:lastRenderedPageBreak/>
        <w:t xml:space="preserve">конкурсная документация, проводится конкурс и, как итог, выбор победителя в </w:t>
      </w:r>
      <w:r w:rsidR="0078033A" w:rsidRPr="0040275B">
        <w:rPr>
          <w:rFonts w:ascii="Times New Roman" w:hAnsi="Times New Roman"/>
          <w:sz w:val="24"/>
          <w:szCs w:val="24"/>
        </w:rPr>
        <w:t>соответствии</w:t>
      </w:r>
      <w:r w:rsidRPr="0040275B">
        <w:rPr>
          <w:rFonts w:ascii="Times New Roman" w:hAnsi="Times New Roman"/>
          <w:sz w:val="24"/>
          <w:szCs w:val="24"/>
        </w:rPr>
        <w:t xml:space="preserve"> с установленными критериями. Также необходимо обозначить, что есть наличие ключевого этапа рассмотрения и принятия решения о реализации проекта ГЧП - произвести оценку социально-экономической и финансовой </w:t>
      </w:r>
      <w:r w:rsidR="0078033A" w:rsidRPr="0040275B">
        <w:rPr>
          <w:rFonts w:ascii="Times New Roman" w:hAnsi="Times New Roman"/>
          <w:sz w:val="24"/>
          <w:szCs w:val="24"/>
        </w:rPr>
        <w:t>эффективности</w:t>
      </w:r>
      <w:r w:rsidRPr="0040275B">
        <w:rPr>
          <w:rFonts w:ascii="Times New Roman" w:hAnsi="Times New Roman"/>
          <w:sz w:val="24"/>
          <w:szCs w:val="24"/>
        </w:rPr>
        <w:t>. На данном этапе и появляется необходимость сравнительного преимущества перед  использованием механизма государственного заказа по дисконтируемым рискам и затратам. Оценку проводит Минэкономразвития России и его положительное заключение является обязательным, но не дает гарантию принятия р</w:t>
      </w:r>
      <w:r w:rsidR="00086241" w:rsidRPr="0040275B">
        <w:rPr>
          <w:rFonts w:ascii="Times New Roman" w:hAnsi="Times New Roman"/>
          <w:sz w:val="24"/>
          <w:szCs w:val="24"/>
        </w:rPr>
        <w:t>ешения о реализации проекта ГЧП [3].</w:t>
      </w:r>
    </w:p>
    <w:p w:rsidR="00280AF0"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Реализация проектов ГЧП в субъектах Российской Федерации, оценка их эффективности включает этапы, пр</w:t>
      </w:r>
      <w:r w:rsidR="00E46137" w:rsidRPr="0040275B">
        <w:rPr>
          <w:rFonts w:ascii="Times New Roman" w:hAnsi="Times New Roman"/>
          <w:sz w:val="24"/>
          <w:szCs w:val="24"/>
        </w:rPr>
        <w:t>оводимые согласно</w:t>
      </w:r>
      <w:r w:rsidRPr="0040275B">
        <w:rPr>
          <w:rFonts w:ascii="Times New Roman" w:hAnsi="Times New Roman"/>
          <w:sz w:val="24"/>
          <w:szCs w:val="24"/>
        </w:rPr>
        <w:t xml:space="preserve"> Методике:</w:t>
      </w:r>
    </w:p>
    <w:p w:rsidR="00280AF0"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1. Оценка на целостность и правильность оформления (</w:t>
      </w:r>
      <w:r w:rsidR="0078033A" w:rsidRPr="0040275B">
        <w:rPr>
          <w:rFonts w:ascii="Times New Roman" w:hAnsi="Times New Roman"/>
          <w:sz w:val="24"/>
          <w:szCs w:val="24"/>
        </w:rPr>
        <w:t>соответствующей</w:t>
      </w:r>
      <w:r w:rsidRPr="0040275B">
        <w:rPr>
          <w:rFonts w:ascii="Times New Roman" w:hAnsi="Times New Roman"/>
          <w:sz w:val="24"/>
          <w:szCs w:val="24"/>
        </w:rPr>
        <w:t xml:space="preserve"> форме и требованиям).</w:t>
      </w:r>
    </w:p>
    <w:p w:rsidR="00280AF0"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2. Оценка социально-экономических эффектов от реализации проекта (наличие привязки к целевым показателям</w:t>
      </w:r>
      <w:r w:rsidR="0078033A" w:rsidRPr="0040275B">
        <w:rPr>
          <w:rFonts w:ascii="Times New Roman" w:hAnsi="Times New Roman"/>
          <w:sz w:val="24"/>
          <w:szCs w:val="24"/>
        </w:rPr>
        <w:t xml:space="preserve"> документов</w:t>
      </w:r>
      <w:r w:rsidRPr="0040275B">
        <w:rPr>
          <w:rFonts w:ascii="Times New Roman" w:hAnsi="Times New Roman"/>
          <w:sz w:val="24"/>
          <w:szCs w:val="24"/>
        </w:rPr>
        <w:t xml:space="preserve"> программирования).</w:t>
      </w:r>
    </w:p>
    <w:p w:rsidR="00280AF0"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3. Оценка фи</w:t>
      </w:r>
      <w:r w:rsidR="00D26EAE" w:rsidRPr="0040275B">
        <w:rPr>
          <w:rFonts w:ascii="Times New Roman" w:hAnsi="Times New Roman"/>
          <w:sz w:val="24"/>
          <w:szCs w:val="24"/>
        </w:rPr>
        <w:t>нансовой эффективности проекта</w:t>
      </w:r>
      <w:r w:rsidR="00E46137" w:rsidRPr="0040275B">
        <w:rPr>
          <w:rFonts w:ascii="Times New Roman" w:hAnsi="Times New Roman"/>
          <w:sz w:val="24"/>
          <w:szCs w:val="24"/>
        </w:rPr>
        <w:t>, результат которой</w:t>
      </w:r>
      <w:r w:rsidR="00D26EAE" w:rsidRPr="0040275B">
        <w:rPr>
          <w:rFonts w:ascii="Times New Roman" w:hAnsi="Times New Roman"/>
          <w:sz w:val="24"/>
          <w:szCs w:val="24"/>
        </w:rPr>
        <w:t xml:space="preserve"> </w:t>
      </w:r>
      <w:r w:rsidRPr="0040275B">
        <w:rPr>
          <w:rFonts w:ascii="Times New Roman" w:hAnsi="Times New Roman"/>
          <w:sz w:val="24"/>
          <w:szCs w:val="24"/>
        </w:rPr>
        <w:t>долж</w:t>
      </w:r>
      <w:r w:rsidR="00E46137" w:rsidRPr="0040275B">
        <w:rPr>
          <w:rFonts w:ascii="Times New Roman" w:hAnsi="Times New Roman"/>
          <w:sz w:val="24"/>
          <w:szCs w:val="24"/>
        </w:rPr>
        <w:t>ен</w:t>
      </w:r>
      <w:r w:rsidRPr="0040275B">
        <w:rPr>
          <w:rFonts w:ascii="Times New Roman" w:hAnsi="Times New Roman"/>
          <w:sz w:val="24"/>
          <w:szCs w:val="24"/>
        </w:rPr>
        <w:t xml:space="preserve"> соответств</w:t>
      </w:r>
      <w:r w:rsidR="00E46137" w:rsidRPr="0040275B">
        <w:rPr>
          <w:rFonts w:ascii="Times New Roman" w:hAnsi="Times New Roman"/>
          <w:sz w:val="24"/>
          <w:szCs w:val="24"/>
        </w:rPr>
        <w:t>ов</w:t>
      </w:r>
      <w:r w:rsidRPr="0040275B">
        <w:rPr>
          <w:rFonts w:ascii="Times New Roman" w:hAnsi="Times New Roman"/>
          <w:sz w:val="24"/>
          <w:szCs w:val="24"/>
        </w:rPr>
        <w:t xml:space="preserve">ать </w:t>
      </w:r>
      <w:r w:rsidRPr="0040275B">
        <w:rPr>
          <w:rFonts w:ascii="Times New Roman" w:hAnsi="Times New Roman"/>
          <w:sz w:val="24"/>
          <w:szCs w:val="24"/>
          <w:lang w:val="en-US"/>
        </w:rPr>
        <w:t>NPVp</w:t>
      </w:r>
      <w:r w:rsidRPr="0040275B">
        <w:rPr>
          <w:rFonts w:ascii="Times New Roman" w:hAnsi="Times New Roman"/>
          <w:sz w:val="24"/>
          <w:szCs w:val="24"/>
        </w:rPr>
        <w:t>&gt;0</w:t>
      </w:r>
      <w:r w:rsidR="00D26EAE" w:rsidRPr="0040275B">
        <w:rPr>
          <w:rFonts w:ascii="Times New Roman" w:hAnsi="Times New Roman"/>
          <w:sz w:val="24"/>
          <w:szCs w:val="24"/>
        </w:rPr>
        <w:t>,</w:t>
      </w:r>
      <w:r w:rsidRPr="0040275B">
        <w:rPr>
          <w:rFonts w:ascii="Times New Roman" w:hAnsi="Times New Roman"/>
          <w:sz w:val="24"/>
          <w:szCs w:val="24"/>
        </w:rPr>
        <w:t xml:space="preserve"> </w:t>
      </w:r>
      <w:r w:rsidR="00E46137" w:rsidRPr="0040275B">
        <w:rPr>
          <w:rFonts w:ascii="Times New Roman" w:hAnsi="Times New Roman"/>
          <w:sz w:val="24"/>
          <w:szCs w:val="24"/>
        </w:rPr>
        <w:t xml:space="preserve">где </w:t>
      </w:r>
      <w:r w:rsidRPr="0040275B">
        <w:rPr>
          <w:rFonts w:ascii="Times New Roman" w:hAnsi="Times New Roman"/>
          <w:sz w:val="24"/>
          <w:szCs w:val="24"/>
          <w:lang w:val="en-US"/>
        </w:rPr>
        <w:t>NPVp</w:t>
      </w:r>
      <w:r w:rsidRPr="0040275B">
        <w:rPr>
          <w:rFonts w:ascii="Times New Roman" w:hAnsi="Times New Roman"/>
          <w:sz w:val="24"/>
          <w:szCs w:val="24"/>
        </w:rPr>
        <w:t xml:space="preserve"> - Net Profit Value </w:t>
      </w:r>
      <w:r w:rsidRPr="0040275B">
        <w:rPr>
          <w:rFonts w:ascii="Times New Roman" w:hAnsi="Times New Roman"/>
          <w:sz w:val="24"/>
          <w:szCs w:val="24"/>
          <w:lang w:val="en-US"/>
        </w:rPr>
        <w:t>project</w:t>
      </w:r>
      <w:r w:rsidRPr="0040275B">
        <w:rPr>
          <w:rFonts w:ascii="Times New Roman" w:hAnsi="Times New Roman"/>
          <w:sz w:val="24"/>
          <w:szCs w:val="24"/>
        </w:rPr>
        <w:t xml:space="preserve"> - дисконтированный доход проекта.</w:t>
      </w:r>
    </w:p>
    <w:p w:rsidR="00280AF0"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4. Определение сравнительного преимущества проекта (сравнение чистых дисконтированных расходов бюджета с учетом рисков).</w:t>
      </w:r>
    </w:p>
    <w:p w:rsidR="00280AF0"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 xml:space="preserve">Следует отметить несколько моментов в приведенных этапах оценки. По финансовой оценке проекта кроме </w:t>
      </w:r>
      <w:r w:rsidRPr="0040275B">
        <w:rPr>
          <w:rFonts w:ascii="Times New Roman" w:hAnsi="Times New Roman"/>
          <w:sz w:val="24"/>
          <w:szCs w:val="24"/>
          <w:lang w:val="en-US"/>
        </w:rPr>
        <w:t>NPV</w:t>
      </w:r>
      <w:r w:rsidRPr="0040275B">
        <w:rPr>
          <w:rFonts w:ascii="Times New Roman" w:hAnsi="Times New Roman"/>
          <w:sz w:val="24"/>
          <w:szCs w:val="24"/>
        </w:rPr>
        <w:t xml:space="preserve"> существует также группа показателей, определяющих финансовую эффективность проекта, таких как:</w:t>
      </w:r>
    </w:p>
    <w:p w:rsidR="00280AF0"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 срок окупаемости;</w:t>
      </w:r>
    </w:p>
    <w:p w:rsidR="00280AF0"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 внутренняя норма доходности (</w:t>
      </w:r>
      <w:r w:rsidRPr="0040275B">
        <w:rPr>
          <w:rFonts w:ascii="Times New Roman" w:hAnsi="Times New Roman"/>
          <w:sz w:val="24"/>
          <w:szCs w:val="24"/>
          <w:lang w:val="en-US"/>
        </w:rPr>
        <w:t>IRR</w:t>
      </w:r>
      <w:r w:rsidRPr="0040275B">
        <w:rPr>
          <w:rFonts w:ascii="Times New Roman" w:hAnsi="Times New Roman"/>
          <w:sz w:val="24"/>
          <w:szCs w:val="24"/>
        </w:rPr>
        <w:t>);</w:t>
      </w:r>
    </w:p>
    <w:p w:rsidR="00280AF0"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 индексы доходности затрат и инвестиций;</w:t>
      </w:r>
    </w:p>
    <w:p w:rsidR="00280AF0" w:rsidRPr="0040275B" w:rsidRDefault="0078033A"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 группа показателей, характери</w:t>
      </w:r>
      <w:r w:rsidR="00280AF0" w:rsidRPr="0040275B">
        <w:rPr>
          <w:rFonts w:ascii="Times New Roman" w:hAnsi="Times New Roman"/>
          <w:sz w:val="24"/>
          <w:szCs w:val="24"/>
        </w:rPr>
        <w:t xml:space="preserve">зующих финансовое состояние </w:t>
      </w:r>
      <w:r w:rsidR="00D26EAE" w:rsidRPr="0040275B">
        <w:rPr>
          <w:rFonts w:ascii="Times New Roman" w:hAnsi="Times New Roman"/>
          <w:sz w:val="24"/>
          <w:szCs w:val="24"/>
        </w:rPr>
        <w:t>предприятия - участника проекта [2].</w:t>
      </w:r>
    </w:p>
    <w:p w:rsidR="00280AF0"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Для осуществления оценки социально-экономических эффектов от реализации проекта достаточным является соответствие целевых по</w:t>
      </w:r>
      <w:r w:rsidR="00E46137" w:rsidRPr="0040275B">
        <w:rPr>
          <w:rFonts w:ascii="Times New Roman" w:hAnsi="Times New Roman"/>
          <w:sz w:val="24"/>
          <w:szCs w:val="24"/>
        </w:rPr>
        <w:t>казателей документации прогноза</w:t>
      </w:r>
      <w:r w:rsidRPr="0040275B">
        <w:rPr>
          <w:rFonts w:ascii="Times New Roman" w:hAnsi="Times New Roman"/>
          <w:sz w:val="24"/>
          <w:szCs w:val="24"/>
        </w:rPr>
        <w:t xml:space="preserve"> соответствующим целям и предмету проекта, т. к. осуществление монетизации социально-экономического эффекта довольн</w:t>
      </w:r>
      <w:r w:rsidR="00E46137" w:rsidRPr="0040275B">
        <w:rPr>
          <w:rFonts w:ascii="Times New Roman" w:hAnsi="Times New Roman"/>
          <w:sz w:val="24"/>
          <w:szCs w:val="24"/>
        </w:rPr>
        <w:t>о</w:t>
      </w:r>
      <w:r w:rsidRPr="0040275B">
        <w:rPr>
          <w:rFonts w:ascii="Times New Roman" w:hAnsi="Times New Roman"/>
          <w:sz w:val="24"/>
          <w:szCs w:val="24"/>
        </w:rPr>
        <w:t xml:space="preserve"> субъективно, поэтому методика оценки эффективности и сравнительного преимущества проектов ГЧП ограничивается на данный момент привязк</w:t>
      </w:r>
      <w:r w:rsidR="00086241" w:rsidRPr="0040275B">
        <w:rPr>
          <w:rFonts w:ascii="Times New Roman" w:hAnsi="Times New Roman"/>
          <w:sz w:val="24"/>
          <w:szCs w:val="24"/>
        </w:rPr>
        <w:t>ой к государственным программам [4].</w:t>
      </w:r>
    </w:p>
    <w:p w:rsidR="00280AF0"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В любом проекте ГЧП будет присутствовать социальный эффект, поскольку такие проекты реализуются в социально значимых сферах экономики и осуществляются согласно потребности в создании нового объекта (водоканалы, больницы, детские сад</w:t>
      </w:r>
      <w:r w:rsidR="00086241" w:rsidRPr="0040275B">
        <w:rPr>
          <w:rFonts w:ascii="Times New Roman" w:hAnsi="Times New Roman"/>
          <w:sz w:val="24"/>
          <w:szCs w:val="24"/>
        </w:rPr>
        <w:t>ы, спортивные комплексы и т.д.) [2].</w:t>
      </w:r>
    </w:p>
    <w:p w:rsidR="00280AF0"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 xml:space="preserve">Приходим к выводу, что оценка эффективности проекта проводится до </w:t>
      </w:r>
      <w:r w:rsidR="003E7DCF" w:rsidRPr="0040275B">
        <w:rPr>
          <w:rFonts w:ascii="Times New Roman" w:hAnsi="Times New Roman"/>
          <w:sz w:val="24"/>
          <w:szCs w:val="24"/>
        </w:rPr>
        <w:t>определенного</w:t>
      </w:r>
      <w:r w:rsidRPr="0040275B">
        <w:rPr>
          <w:rFonts w:ascii="Times New Roman" w:hAnsi="Times New Roman"/>
          <w:sz w:val="24"/>
          <w:szCs w:val="24"/>
        </w:rPr>
        <w:t xml:space="preserve"> сравнительного преимущества проекта на основе критериев:</w:t>
      </w:r>
    </w:p>
    <w:p w:rsidR="00280AF0"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 финансовая эффективность проекта;</w:t>
      </w:r>
    </w:p>
    <w:p w:rsidR="00280AF0"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 социально-экон</w:t>
      </w:r>
      <w:r w:rsidR="00E46137" w:rsidRPr="0040275B">
        <w:rPr>
          <w:rFonts w:ascii="Times New Roman" w:hAnsi="Times New Roman"/>
          <w:sz w:val="24"/>
          <w:szCs w:val="24"/>
        </w:rPr>
        <w:t xml:space="preserve">омический эффект от реализации </w:t>
      </w:r>
      <w:r w:rsidRPr="0040275B">
        <w:rPr>
          <w:rFonts w:ascii="Times New Roman" w:hAnsi="Times New Roman"/>
          <w:sz w:val="24"/>
          <w:szCs w:val="24"/>
        </w:rPr>
        <w:t>проекта.</w:t>
      </w:r>
    </w:p>
    <w:p w:rsidR="00457A0D"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Определение сравнительного преимущества осуществляют в случае, если проект признан эффективным по каждому из критериев.</w:t>
      </w:r>
    </w:p>
    <w:p w:rsidR="00B066BE" w:rsidRPr="0040275B" w:rsidRDefault="000B398E"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Таблица 1</w:t>
      </w:r>
      <w:r w:rsidR="005E2A18" w:rsidRPr="0040275B">
        <w:rPr>
          <w:rFonts w:ascii="Times New Roman" w:hAnsi="Times New Roman"/>
          <w:sz w:val="24"/>
          <w:szCs w:val="24"/>
        </w:rPr>
        <w:t>-</w:t>
      </w:r>
      <w:r w:rsidRPr="0040275B">
        <w:rPr>
          <w:rFonts w:ascii="Times New Roman" w:hAnsi="Times New Roman"/>
          <w:sz w:val="24"/>
          <w:szCs w:val="24"/>
        </w:rPr>
        <w:t xml:space="preserve"> Оценка эффективности участников ГЧП [4]</w:t>
      </w:r>
    </w:p>
    <w:tbl>
      <w:tblPr>
        <w:tblStyle w:val="a6"/>
        <w:tblW w:w="5000" w:type="pct"/>
        <w:tblLook w:val="04A0"/>
      </w:tblPr>
      <w:tblGrid>
        <w:gridCol w:w="2299"/>
        <w:gridCol w:w="4083"/>
        <w:gridCol w:w="3806"/>
      </w:tblGrid>
      <w:tr w:rsidR="00A02C2A" w:rsidRPr="0040275B" w:rsidTr="00A02C2A">
        <w:tc>
          <w:tcPr>
            <w:tcW w:w="1128" w:type="pct"/>
            <w:vMerge w:val="restart"/>
          </w:tcPr>
          <w:p w:rsidR="00A02C2A" w:rsidRPr="0040275B" w:rsidRDefault="00A02C2A" w:rsidP="0040275B">
            <w:pPr>
              <w:widowControl w:val="0"/>
              <w:autoSpaceDE w:val="0"/>
              <w:autoSpaceDN w:val="0"/>
              <w:adjustRightInd w:val="0"/>
              <w:ind w:firstLine="709"/>
              <w:contextualSpacing/>
              <w:jc w:val="both"/>
              <w:rPr>
                <w:rFonts w:ascii="Times New Roman" w:hAnsi="Times New Roman"/>
                <w:sz w:val="24"/>
                <w:szCs w:val="24"/>
              </w:rPr>
            </w:pPr>
            <w:r w:rsidRPr="0040275B">
              <w:rPr>
                <w:rFonts w:ascii="Times New Roman" w:hAnsi="Times New Roman"/>
                <w:sz w:val="24"/>
                <w:szCs w:val="24"/>
              </w:rPr>
              <w:t>Эффективность проекта в целом</w:t>
            </w:r>
          </w:p>
        </w:tc>
        <w:tc>
          <w:tcPr>
            <w:tcW w:w="2004" w:type="pct"/>
          </w:tcPr>
          <w:p w:rsidR="00A02C2A" w:rsidRPr="0040275B" w:rsidRDefault="00A02C2A" w:rsidP="0040275B">
            <w:pPr>
              <w:widowControl w:val="0"/>
              <w:autoSpaceDE w:val="0"/>
              <w:autoSpaceDN w:val="0"/>
              <w:adjustRightInd w:val="0"/>
              <w:ind w:firstLine="709"/>
              <w:contextualSpacing/>
              <w:jc w:val="both"/>
              <w:rPr>
                <w:rFonts w:ascii="Times New Roman" w:hAnsi="Times New Roman"/>
                <w:sz w:val="24"/>
                <w:szCs w:val="24"/>
              </w:rPr>
            </w:pPr>
            <w:r w:rsidRPr="0040275B">
              <w:rPr>
                <w:rFonts w:ascii="Times New Roman" w:hAnsi="Times New Roman"/>
                <w:sz w:val="24"/>
                <w:szCs w:val="24"/>
              </w:rPr>
              <w:t>Общественная эффективность</w:t>
            </w:r>
          </w:p>
        </w:tc>
        <w:tc>
          <w:tcPr>
            <w:tcW w:w="1868" w:type="pct"/>
          </w:tcPr>
          <w:p w:rsidR="00A02C2A" w:rsidRPr="0040275B" w:rsidRDefault="00A02C2A" w:rsidP="0040275B">
            <w:pPr>
              <w:widowControl w:val="0"/>
              <w:autoSpaceDE w:val="0"/>
              <w:autoSpaceDN w:val="0"/>
              <w:adjustRightInd w:val="0"/>
              <w:ind w:firstLine="709"/>
              <w:contextualSpacing/>
              <w:jc w:val="both"/>
              <w:rPr>
                <w:rFonts w:ascii="Times New Roman" w:hAnsi="Times New Roman"/>
                <w:sz w:val="24"/>
                <w:szCs w:val="24"/>
              </w:rPr>
            </w:pPr>
            <w:r w:rsidRPr="0040275B">
              <w:rPr>
                <w:rFonts w:ascii="Times New Roman" w:hAnsi="Times New Roman"/>
                <w:sz w:val="24"/>
                <w:szCs w:val="24"/>
              </w:rPr>
              <w:t>Валовый национальный продукт, занятость и уровень доходов населения, участие в международном разделении труда.</w:t>
            </w:r>
          </w:p>
        </w:tc>
      </w:tr>
      <w:tr w:rsidR="00A02C2A" w:rsidRPr="0040275B" w:rsidTr="00A02C2A">
        <w:tc>
          <w:tcPr>
            <w:tcW w:w="1128" w:type="pct"/>
            <w:vMerge/>
          </w:tcPr>
          <w:p w:rsidR="00A02C2A" w:rsidRPr="0040275B" w:rsidRDefault="00A02C2A" w:rsidP="0040275B">
            <w:pPr>
              <w:widowControl w:val="0"/>
              <w:autoSpaceDE w:val="0"/>
              <w:autoSpaceDN w:val="0"/>
              <w:adjustRightInd w:val="0"/>
              <w:ind w:firstLine="709"/>
              <w:contextualSpacing/>
              <w:jc w:val="both"/>
              <w:rPr>
                <w:rFonts w:ascii="Times New Roman" w:hAnsi="Times New Roman"/>
                <w:sz w:val="24"/>
                <w:szCs w:val="24"/>
              </w:rPr>
            </w:pPr>
          </w:p>
        </w:tc>
        <w:tc>
          <w:tcPr>
            <w:tcW w:w="2004" w:type="pct"/>
          </w:tcPr>
          <w:p w:rsidR="00A02C2A" w:rsidRPr="0040275B" w:rsidRDefault="00A02C2A" w:rsidP="0040275B">
            <w:pPr>
              <w:widowControl w:val="0"/>
              <w:autoSpaceDE w:val="0"/>
              <w:autoSpaceDN w:val="0"/>
              <w:adjustRightInd w:val="0"/>
              <w:ind w:firstLine="709"/>
              <w:contextualSpacing/>
              <w:jc w:val="both"/>
              <w:rPr>
                <w:rFonts w:ascii="Times New Roman" w:hAnsi="Times New Roman"/>
                <w:sz w:val="24"/>
                <w:szCs w:val="24"/>
              </w:rPr>
            </w:pPr>
            <w:r w:rsidRPr="0040275B">
              <w:rPr>
                <w:rFonts w:ascii="Times New Roman" w:hAnsi="Times New Roman"/>
                <w:sz w:val="24"/>
                <w:szCs w:val="24"/>
              </w:rPr>
              <w:t>Коммерческая эффективность</w:t>
            </w:r>
          </w:p>
        </w:tc>
        <w:tc>
          <w:tcPr>
            <w:tcW w:w="1868" w:type="pct"/>
            <w:vMerge w:val="restart"/>
          </w:tcPr>
          <w:p w:rsidR="00A02C2A" w:rsidRPr="0040275B" w:rsidRDefault="00A02C2A" w:rsidP="0040275B">
            <w:pPr>
              <w:widowControl w:val="0"/>
              <w:autoSpaceDE w:val="0"/>
              <w:autoSpaceDN w:val="0"/>
              <w:adjustRightInd w:val="0"/>
              <w:ind w:firstLine="709"/>
              <w:contextualSpacing/>
              <w:jc w:val="both"/>
              <w:rPr>
                <w:rFonts w:ascii="Times New Roman" w:hAnsi="Times New Roman"/>
                <w:sz w:val="24"/>
                <w:szCs w:val="24"/>
              </w:rPr>
            </w:pPr>
            <w:r w:rsidRPr="0040275B">
              <w:rPr>
                <w:rFonts w:ascii="Times New Roman" w:hAnsi="Times New Roman"/>
                <w:sz w:val="24"/>
                <w:szCs w:val="24"/>
              </w:rPr>
              <w:t xml:space="preserve">Чистая дисконтированная прибыль; внутренняя норма </w:t>
            </w:r>
            <w:r w:rsidRPr="0040275B">
              <w:rPr>
                <w:rFonts w:ascii="Times New Roman" w:hAnsi="Times New Roman"/>
                <w:sz w:val="24"/>
                <w:szCs w:val="24"/>
              </w:rPr>
              <w:lastRenderedPageBreak/>
              <w:t>рентабельности; срок окупаемости; потребность в дополнительном финансировании; взвешенная средняя стоимость капитала; стоимость капитальных активов</w:t>
            </w:r>
          </w:p>
        </w:tc>
      </w:tr>
      <w:tr w:rsidR="00A02C2A" w:rsidRPr="0040275B" w:rsidTr="00A02C2A">
        <w:tc>
          <w:tcPr>
            <w:tcW w:w="1128" w:type="pct"/>
            <w:vMerge w:val="restart"/>
          </w:tcPr>
          <w:p w:rsidR="00A02C2A" w:rsidRPr="0040275B" w:rsidRDefault="00A02C2A" w:rsidP="0040275B">
            <w:pPr>
              <w:widowControl w:val="0"/>
              <w:autoSpaceDE w:val="0"/>
              <w:autoSpaceDN w:val="0"/>
              <w:adjustRightInd w:val="0"/>
              <w:ind w:firstLine="709"/>
              <w:contextualSpacing/>
              <w:jc w:val="both"/>
              <w:rPr>
                <w:rFonts w:ascii="Times New Roman" w:hAnsi="Times New Roman"/>
                <w:sz w:val="24"/>
                <w:szCs w:val="24"/>
              </w:rPr>
            </w:pPr>
            <w:r w:rsidRPr="0040275B">
              <w:rPr>
                <w:rFonts w:ascii="Times New Roman" w:hAnsi="Times New Roman"/>
                <w:sz w:val="24"/>
                <w:szCs w:val="24"/>
              </w:rPr>
              <w:t>Эффективно</w:t>
            </w:r>
            <w:r w:rsidRPr="0040275B">
              <w:rPr>
                <w:rFonts w:ascii="Times New Roman" w:hAnsi="Times New Roman"/>
                <w:sz w:val="24"/>
                <w:szCs w:val="24"/>
              </w:rPr>
              <w:lastRenderedPageBreak/>
              <w:t>сть участия в проекте</w:t>
            </w:r>
          </w:p>
        </w:tc>
        <w:tc>
          <w:tcPr>
            <w:tcW w:w="2004" w:type="pct"/>
          </w:tcPr>
          <w:p w:rsidR="00A02C2A" w:rsidRPr="0040275B" w:rsidRDefault="00A02C2A" w:rsidP="0040275B">
            <w:pPr>
              <w:widowControl w:val="0"/>
              <w:autoSpaceDE w:val="0"/>
              <w:autoSpaceDN w:val="0"/>
              <w:adjustRightInd w:val="0"/>
              <w:ind w:firstLine="709"/>
              <w:contextualSpacing/>
              <w:jc w:val="both"/>
              <w:rPr>
                <w:rFonts w:ascii="Times New Roman" w:hAnsi="Times New Roman"/>
                <w:sz w:val="24"/>
                <w:szCs w:val="24"/>
              </w:rPr>
            </w:pPr>
            <w:r w:rsidRPr="0040275B">
              <w:rPr>
                <w:rFonts w:ascii="Times New Roman" w:hAnsi="Times New Roman"/>
                <w:sz w:val="24"/>
                <w:szCs w:val="24"/>
              </w:rPr>
              <w:lastRenderedPageBreak/>
              <w:t xml:space="preserve">Эффективность для </w:t>
            </w:r>
            <w:r w:rsidRPr="0040275B">
              <w:rPr>
                <w:rFonts w:ascii="Times New Roman" w:hAnsi="Times New Roman"/>
                <w:sz w:val="24"/>
                <w:szCs w:val="24"/>
              </w:rPr>
              <w:lastRenderedPageBreak/>
              <w:t>участников</w:t>
            </w:r>
          </w:p>
        </w:tc>
        <w:tc>
          <w:tcPr>
            <w:tcW w:w="1868" w:type="pct"/>
            <w:vMerge/>
          </w:tcPr>
          <w:p w:rsidR="00A02C2A" w:rsidRPr="0040275B" w:rsidRDefault="00A02C2A" w:rsidP="0040275B">
            <w:pPr>
              <w:widowControl w:val="0"/>
              <w:autoSpaceDE w:val="0"/>
              <w:autoSpaceDN w:val="0"/>
              <w:adjustRightInd w:val="0"/>
              <w:ind w:firstLine="709"/>
              <w:contextualSpacing/>
              <w:jc w:val="both"/>
              <w:rPr>
                <w:rFonts w:ascii="Times New Roman" w:hAnsi="Times New Roman"/>
                <w:sz w:val="24"/>
                <w:szCs w:val="24"/>
              </w:rPr>
            </w:pPr>
          </w:p>
        </w:tc>
      </w:tr>
      <w:tr w:rsidR="00A02C2A" w:rsidRPr="0040275B" w:rsidTr="00A02C2A">
        <w:tc>
          <w:tcPr>
            <w:tcW w:w="1128" w:type="pct"/>
            <w:vMerge/>
          </w:tcPr>
          <w:p w:rsidR="00A02C2A" w:rsidRPr="0040275B" w:rsidRDefault="00A02C2A" w:rsidP="0040275B">
            <w:pPr>
              <w:widowControl w:val="0"/>
              <w:autoSpaceDE w:val="0"/>
              <w:autoSpaceDN w:val="0"/>
              <w:adjustRightInd w:val="0"/>
              <w:ind w:firstLine="709"/>
              <w:contextualSpacing/>
              <w:jc w:val="both"/>
              <w:rPr>
                <w:rFonts w:ascii="Times New Roman" w:hAnsi="Times New Roman"/>
                <w:sz w:val="24"/>
                <w:szCs w:val="24"/>
              </w:rPr>
            </w:pPr>
          </w:p>
        </w:tc>
        <w:tc>
          <w:tcPr>
            <w:tcW w:w="2004" w:type="pct"/>
          </w:tcPr>
          <w:p w:rsidR="00A02C2A" w:rsidRPr="0040275B" w:rsidRDefault="00A02C2A" w:rsidP="0040275B">
            <w:pPr>
              <w:widowControl w:val="0"/>
              <w:autoSpaceDE w:val="0"/>
              <w:autoSpaceDN w:val="0"/>
              <w:adjustRightInd w:val="0"/>
              <w:ind w:firstLine="709"/>
              <w:contextualSpacing/>
              <w:jc w:val="center"/>
              <w:rPr>
                <w:rFonts w:ascii="Times New Roman" w:hAnsi="Times New Roman"/>
                <w:sz w:val="24"/>
                <w:szCs w:val="24"/>
              </w:rPr>
            </w:pPr>
            <w:r w:rsidRPr="0040275B">
              <w:rPr>
                <w:rFonts w:ascii="Times New Roman" w:hAnsi="Times New Roman"/>
                <w:sz w:val="24"/>
                <w:szCs w:val="24"/>
              </w:rPr>
              <w:t>Региональная, отраслевая эффективность</w:t>
            </w:r>
          </w:p>
        </w:tc>
        <w:tc>
          <w:tcPr>
            <w:tcW w:w="1868" w:type="pct"/>
          </w:tcPr>
          <w:p w:rsidR="00A02C2A" w:rsidRPr="0040275B" w:rsidRDefault="00A02C2A" w:rsidP="0040275B">
            <w:pPr>
              <w:widowControl w:val="0"/>
              <w:autoSpaceDE w:val="0"/>
              <w:autoSpaceDN w:val="0"/>
              <w:adjustRightInd w:val="0"/>
              <w:ind w:firstLine="709"/>
              <w:contextualSpacing/>
              <w:jc w:val="both"/>
              <w:rPr>
                <w:rFonts w:ascii="Times New Roman" w:hAnsi="Times New Roman"/>
                <w:sz w:val="24"/>
                <w:szCs w:val="24"/>
              </w:rPr>
            </w:pPr>
            <w:r w:rsidRPr="0040275B">
              <w:rPr>
                <w:rFonts w:ascii="Times New Roman" w:hAnsi="Times New Roman"/>
                <w:sz w:val="24"/>
                <w:szCs w:val="24"/>
              </w:rPr>
              <w:t>Конкурентоспособность предприятия; рост доходов смежных предприятий, международная интегра</w:t>
            </w:r>
            <w:r w:rsidR="000B398E" w:rsidRPr="0040275B">
              <w:rPr>
                <w:rFonts w:ascii="Times New Roman" w:hAnsi="Times New Roman"/>
                <w:sz w:val="24"/>
                <w:szCs w:val="24"/>
              </w:rPr>
              <w:t>ция, экологическая безопасность</w:t>
            </w:r>
          </w:p>
        </w:tc>
      </w:tr>
      <w:tr w:rsidR="00A02C2A" w:rsidRPr="0040275B" w:rsidTr="00A02C2A">
        <w:tc>
          <w:tcPr>
            <w:tcW w:w="1128" w:type="pct"/>
            <w:vMerge/>
          </w:tcPr>
          <w:p w:rsidR="00A02C2A" w:rsidRPr="0040275B" w:rsidRDefault="00A02C2A" w:rsidP="0040275B">
            <w:pPr>
              <w:widowControl w:val="0"/>
              <w:autoSpaceDE w:val="0"/>
              <w:autoSpaceDN w:val="0"/>
              <w:adjustRightInd w:val="0"/>
              <w:ind w:firstLine="709"/>
              <w:contextualSpacing/>
              <w:jc w:val="both"/>
              <w:rPr>
                <w:rFonts w:ascii="Times New Roman" w:hAnsi="Times New Roman"/>
                <w:sz w:val="24"/>
                <w:szCs w:val="24"/>
              </w:rPr>
            </w:pPr>
          </w:p>
        </w:tc>
        <w:tc>
          <w:tcPr>
            <w:tcW w:w="2004" w:type="pct"/>
          </w:tcPr>
          <w:p w:rsidR="00A02C2A" w:rsidRPr="0040275B" w:rsidRDefault="00A02C2A" w:rsidP="0040275B">
            <w:pPr>
              <w:widowControl w:val="0"/>
              <w:autoSpaceDE w:val="0"/>
              <w:autoSpaceDN w:val="0"/>
              <w:adjustRightInd w:val="0"/>
              <w:ind w:firstLine="709"/>
              <w:contextualSpacing/>
              <w:jc w:val="both"/>
              <w:rPr>
                <w:rFonts w:ascii="Times New Roman" w:hAnsi="Times New Roman"/>
                <w:sz w:val="24"/>
                <w:szCs w:val="24"/>
              </w:rPr>
            </w:pPr>
            <w:r w:rsidRPr="0040275B">
              <w:rPr>
                <w:rFonts w:ascii="Times New Roman" w:hAnsi="Times New Roman"/>
                <w:sz w:val="24"/>
                <w:szCs w:val="24"/>
              </w:rPr>
              <w:t>Бюджетная эффективность</w:t>
            </w:r>
          </w:p>
        </w:tc>
        <w:tc>
          <w:tcPr>
            <w:tcW w:w="1868" w:type="pct"/>
          </w:tcPr>
          <w:p w:rsidR="00A02C2A" w:rsidRPr="0040275B" w:rsidRDefault="000B398E" w:rsidP="0040275B">
            <w:pPr>
              <w:widowControl w:val="0"/>
              <w:autoSpaceDE w:val="0"/>
              <w:autoSpaceDN w:val="0"/>
              <w:adjustRightInd w:val="0"/>
              <w:ind w:firstLine="709"/>
              <w:contextualSpacing/>
              <w:jc w:val="both"/>
              <w:rPr>
                <w:rFonts w:ascii="Times New Roman" w:hAnsi="Times New Roman"/>
                <w:sz w:val="24"/>
                <w:szCs w:val="24"/>
              </w:rPr>
            </w:pPr>
            <w:r w:rsidRPr="0040275B">
              <w:rPr>
                <w:rFonts w:ascii="Times New Roman" w:hAnsi="Times New Roman"/>
                <w:sz w:val="24"/>
                <w:szCs w:val="24"/>
              </w:rPr>
              <w:t>Поступление в бюджеты различных уровней в виде налогов, акцизов, пошлин и т.д.</w:t>
            </w:r>
          </w:p>
        </w:tc>
      </w:tr>
    </w:tbl>
    <w:p w:rsidR="00A02C2A" w:rsidRPr="0040275B" w:rsidRDefault="00A02C2A"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p>
    <w:p w:rsidR="000B398E" w:rsidRPr="0040275B" w:rsidRDefault="00280D3D"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Подводя итог, следует отметить следующ</w:t>
      </w:r>
      <w:r w:rsidR="00E46137" w:rsidRPr="0040275B">
        <w:rPr>
          <w:rFonts w:ascii="Times New Roman" w:hAnsi="Times New Roman"/>
          <w:sz w:val="24"/>
          <w:szCs w:val="24"/>
        </w:rPr>
        <w:t>е</w:t>
      </w:r>
      <w:r w:rsidRPr="0040275B">
        <w:rPr>
          <w:rFonts w:ascii="Times New Roman" w:hAnsi="Times New Roman"/>
          <w:sz w:val="24"/>
          <w:szCs w:val="24"/>
        </w:rPr>
        <w:t>е</w:t>
      </w:r>
      <w:r w:rsidR="00E46137" w:rsidRPr="0040275B">
        <w:rPr>
          <w:rFonts w:ascii="Times New Roman" w:hAnsi="Times New Roman"/>
          <w:sz w:val="24"/>
          <w:szCs w:val="24"/>
        </w:rPr>
        <w:t>.</w:t>
      </w:r>
      <w:r w:rsidR="00732B01" w:rsidRPr="0040275B">
        <w:rPr>
          <w:rFonts w:ascii="Times New Roman" w:hAnsi="Times New Roman"/>
          <w:sz w:val="24"/>
          <w:szCs w:val="24"/>
        </w:rPr>
        <w:t xml:space="preserve"> Важно, чтобы с самого начала был заложен механизм оценки, позволяющий каждый раз в течение всего жизненного цикла партнерства, проводить регулярные аналитические расчеты эффективности по приведенным показателям. В концептуальном плане речь идет о создании своеобразной системы мониторинга для регулярной и проактивной оценки эффективности и, как результат, выявления путей ее обеспечения на уровне, удовлетворяющем каждого из участников партнерства. </w:t>
      </w:r>
      <w:r w:rsidR="000B398E" w:rsidRPr="0040275B">
        <w:rPr>
          <w:rFonts w:ascii="Times New Roman" w:hAnsi="Times New Roman"/>
          <w:sz w:val="24"/>
          <w:szCs w:val="24"/>
        </w:rPr>
        <w:t>Кроме этого, проекты ГЧП должны обеспечить экономию бюджетных средств. Сотрудничество в форме государственно-частного партнерства имеет возможности большого количества потенциальных выгод и, конечно же, преимуществ, которые извлекают для себя обе стороны сотрудничества. Эти потенциальные преимущества включают в себя снижение затрат, а следовательно повышение эффективности, распределение ответственности по рискам, более совершенное осуществление финансирования проектов, ускорение реализации проектов, а также получение значительных первоначальных доходов государственным сектором в перспективе заключения долгосрочного концессионного соглашения.</w:t>
      </w:r>
    </w:p>
    <w:p w:rsidR="0078033A" w:rsidRPr="0040275B" w:rsidRDefault="0078033A" w:rsidP="0040275B">
      <w:pPr>
        <w:widowControl w:val="0"/>
        <w:autoSpaceDE w:val="0"/>
        <w:autoSpaceDN w:val="0"/>
        <w:adjustRightInd w:val="0"/>
        <w:spacing w:after="0" w:line="240" w:lineRule="auto"/>
        <w:ind w:firstLine="709"/>
        <w:contextualSpacing/>
        <w:jc w:val="both"/>
        <w:rPr>
          <w:rFonts w:ascii="Times New Roman" w:hAnsi="Times New Roman"/>
          <w:b/>
          <w:bCs/>
          <w:sz w:val="24"/>
          <w:szCs w:val="24"/>
        </w:rPr>
      </w:pPr>
    </w:p>
    <w:p w:rsidR="00280AF0" w:rsidRPr="0040275B" w:rsidRDefault="005E2A18" w:rsidP="0040275B">
      <w:pPr>
        <w:widowControl w:val="0"/>
        <w:autoSpaceDE w:val="0"/>
        <w:autoSpaceDN w:val="0"/>
        <w:adjustRightInd w:val="0"/>
        <w:spacing w:after="0" w:line="240" w:lineRule="auto"/>
        <w:ind w:firstLine="709"/>
        <w:contextualSpacing/>
        <w:jc w:val="center"/>
        <w:rPr>
          <w:rFonts w:ascii="Times New Roman" w:hAnsi="Times New Roman"/>
          <w:b/>
          <w:bCs/>
          <w:sz w:val="24"/>
          <w:szCs w:val="24"/>
        </w:rPr>
      </w:pPr>
      <w:r w:rsidRPr="0040275B">
        <w:rPr>
          <w:rFonts w:ascii="Times New Roman" w:hAnsi="Times New Roman"/>
          <w:b/>
          <w:bCs/>
          <w:sz w:val="24"/>
          <w:szCs w:val="24"/>
        </w:rPr>
        <w:t>Список литературы</w:t>
      </w:r>
    </w:p>
    <w:p w:rsidR="00280AF0"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1. Приказ  Минэкономразвития  России  от  30.11.2015  N  894  "Об  утверждении  Методики оценки  эффективности  проекта  государственно-частного  партнерства,  проектам муниципально-частного партнерства и определения их сравнительного преимущества"</w:t>
      </w:r>
      <w:r w:rsidR="00D26EAE" w:rsidRPr="0040275B">
        <w:rPr>
          <w:rFonts w:ascii="Times New Roman" w:hAnsi="Times New Roman"/>
          <w:sz w:val="24"/>
          <w:szCs w:val="24"/>
        </w:rPr>
        <w:t xml:space="preserve"> </w:t>
      </w:r>
      <w:r w:rsidRPr="0040275B">
        <w:rPr>
          <w:rFonts w:ascii="Times New Roman" w:hAnsi="Times New Roman"/>
          <w:sz w:val="24"/>
          <w:szCs w:val="24"/>
        </w:rPr>
        <w:t>(Зарегистрировано в Минюсте России 30.12.2015 N 40375)</w:t>
      </w:r>
    </w:p>
    <w:p w:rsidR="00280AF0"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2. Методические рекомендации по оценке эффективности инвестиционных проектов" (утв. Минэкономики РФ, Минфином РФ, Госстроем РФ 21.06.1999 N ВК 477).</w:t>
      </w:r>
    </w:p>
    <w:p w:rsidR="00280AF0"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3. Варнавский В.Г., Клименко А.В., Королев В.А. Государственн</w:t>
      </w:r>
      <w:r w:rsidR="00A056C2" w:rsidRPr="0040275B">
        <w:rPr>
          <w:rFonts w:ascii="Times New Roman" w:hAnsi="Times New Roman"/>
          <w:sz w:val="24"/>
          <w:szCs w:val="24"/>
        </w:rPr>
        <w:t xml:space="preserve">о-частное партнерство. Теория </w:t>
      </w:r>
      <w:r w:rsidRPr="0040275B">
        <w:rPr>
          <w:rFonts w:ascii="Times New Roman" w:hAnsi="Times New Roman"/>
          <w:sz w:val="24"/>
          <w:szCs w:val="24"/>
        </w:rPr>
        <w:t>и практика / В.Г. Варнавский, А.В. Клименко, В.А. Королев. – М.: Издательский дом ГУ ВШЭ,</w:t>
      </w:r>
      <w:r w:rsidR="00A056C2" w:rsidRPr="0040275B">
        <w:rPr>
          <w:rFonts w:ascii="Times New Roman" w:hAnsi="Times New Roman"/>
          <w:sz w:val="24"/>
          <w:szCs w:val="24"/>
        </w:rPr>
        <w:t xml:space="preserve"> </w:t>
      </w:r>
      <w:r w:rsidRPr="0040275B">
        <w:rPr>
          <w:rFonts w:ascii="Times New Roman" w:hAnsi="Times New Roman"/>
          <w:sz w:val="24"/>
          <w:szCs w:val="24"/>
        </w:rPr>
        <w:t>2010.</w:t>
      </w:r>
      <w:r w:rsidR="00A056C2" w:rsidRPr="0040275B">
        <w:rPr>
          <w:rFonts w:ascii="Times New Roman" w:hAnsi="Times New Roman"/>
          <w:sz w:val="24"/>
          <w:szCs w:val="24"/>
        </w:rPr>
        <w:t xml:space="preserve"> – </w:t>
      </w:r>
      <w:r w:rsidR="00B066BE" w:rsidRPr="0040275B">
        <w:rPr>
          <w:rFonts w:ascii="Times New Roman" w:hAnsi="Times New Roman"/>
          <w:sz w:val="24"/>
          <w:szCs w:val="24"/>
        </w:rPr>
        <w:t xml:space="preserve">287 </w:t>
      </w:r>
      <w:r w:rsidR="00B066BE" w:rsidRPr="0040275B">
        <w:rPr>
          <w:rFonts w:ascii="Times New Roman" w:hAnsi="Times New Roman"/>
          <w:sz w:val="24"/>
          <w:szCs w:val="24"/>
          <w:lang w:val="en-US"/>
        </w:rPr>
        <w:t>c</w:t>
      </w:r>
      <w:r w:rsidR="00B066BE" w:rsidRPr="0040275B">
        <w:rPr>
          <w:rFonts w:ascii="Times New Roman" w:hAnsi="Times New Roman"/>
          <w:sz w:val="24"/>
          <w:szCs w:val="24"/>
        </w:rPr>
        <w:t>.</w:t>
      </w:r>
    </w:p>
    <w:p w:rsidR="0040275B" w:rsidRPr="0040275B" w:rsidRDefault="00280AF0"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4. Евстафьева  И.Ю.,  Присяжная  Р.И.  Финансы  и  инновационное  развитие  России  //11.Корпоративные финансы и реалии XXI века / под. ред. В.А. Черненко, М.В. Романовского. –</w:t>
      </w:r>
      <w:r w:rsidR="00A056C2" w:rsidRPr="0040275B">
        <w:rPr>
          <w:rFonts w:ascii="Times New Roman" w:hAnsi="Times New Roman"/>
          <w:sz w:val="24"/>
          <w:szCs w:val="24"/>
        </w:rPr>
        <w:t xml:space="preserve"> </w:t>
      </w:r>
      <w:r w:rsidRPr="0040275B">
        <w:rPr>
          <w:rFonts w:ascii="Times New Roman" w:hAnsi="Times New Roman"/>
          <w:sz w:val="24"/>
          <w:szCs w:val="24"/>
        </w:rPr>
        <w:t xml:space="preserve">СПб.: Астерион, 2016. – 164 с. </w:t>
      </w:r>
    </w:p>
    <w:p w:rsidR="0040275B" w:rsidRPr="0040275B" w:rsidRDefault="0040275B" w:rsidP="0040275B">
      <w:pPr>
        <w:widowControl w:val="0"/>
        <w:autoSpaceDE w:val="0"/>
        <w:autoSpaceDN w:val="0"/>
        <w:adjustRightInd w:val="0"/>
        <w:spacing w:after="0" w:line="240" w:lineRule="auto"/>
        <w:ind w:firstLine="709"/>
        <w:contextualSpacing/>
        <w:jc w:val="both"/>
        <w:rPr>
          <w:rFonts w:ascii="Times New Roman" w:hAnsi="Times New Roman"/>
          <w:sz w:val="24"/>
          <w:szCs w:val="24"/>
        </w:rPr>
      </w:pPr>
      <w:r w:rsidRPr="0040275B">
        <w:rPr>
          <w:rFonts w:ascii="Times New Roman" w:hAnsi="Times New Roman"/>
          <w:sz w:val="24"/>
          <w:szCs w:val="24"/>
        </w:rPr>
        <w:t>5. Токтамышева Ю.С. Оценка макроэкономических целей национальной экономики // Казанская наука. 2012. № 12. С.148-155</w:t>
      </w:r>
    </w:p>
    <w:p w:rsidR="00E8612B" w:rsidRPr="0040275B" w:rsidRDefault="00E8612B" w:rsidP="0040275B">
      <w:pPr>
        <w:widowControl w:val="0"/>
        <w:autoSpaceDE w:val="0"/>
        <w:autoSpaceDN w:val="0"/>
        <w:adjustRightInd w:val="0"/>
        <w:spacing w:after="0" w:line="240" w:lineRule="auto"/>
        <w:ind w:firstLine="851"/>
        <w:contextualSpacing/>
        <w:jc w:val="both"/>
        <w:rPr>
          <w:rFonts w:ascii="Times New Roman" w:hAnsi="Times New Roman"/>
          <w:sz w:val="24"/>
          <w:szCs w:val="24"/>
        </w:rPr>
      </w:pPr>
    </w:p>
    <w:p w:rsidR="00E8612B" w:rsidRPr="0040275B" w:rsidRDefault="00E8612B" w:rsidP="0040275B">
      <w:pPr>
        <w:widowControl w:val="0"/>
        <w:autoSpaceDE w:val="0"/>
        <w:autoSpaceDN w:val="0"/>
        <w:adjustRightInd w:val="0"/>
        <w:spacing w:after="0" w:line="240" w:lineRule="auto"/>
        <w:ind w:firstLine="851"/>
        <w:contextualSpacing/>
        <w:jc w:val="center"/>
        <w:rPr>
          <w:rFonts w:ascii="Times New Roman" w:hAnsi="Times New Roman"/>
          <w:b/>
          <w:sz w:val="24"/>
          <w:szCs w:val="24"/>
        </w:rPr>
      </w:pPr>
      <w:r w:rsidRPr="0040275B">
        <w:rPr>
          <w:rFonts w:ascii="Times New Roman" w:hAnsi="Times New Roman"/>
          <w:b/>
          <w:sz w:val="24"/>
          <w:szCs w:val="24"/>
        </w:rPr>
        <w:t>Информация об авторе на русском языке</w:t>
      </w:r>
    </w:p>
    <w:p w:rsidR="00B066BE" w:rsidRPr="0040275B" w:rsidRDefault="00E8612B" w:rsidP="0040275B">
      <w:pPr>
        <w:widowControl w:val="0"/>
        <w:autoSpaceDE w:val="0"/>
        <w:autoSpaceDN w:val="0"/>
        <w:adjustRightInd w:val="0"/>
        <w:spacing w:after="0" w:line="240" w:lineRule="auto"/>
        <w:ind w:firstLine="851"/>
        <w:contextualSpacing/>
        <w:jc w:val="both"/>
        <w:rPr>
          <w:rFonts w:ascii="Times New Roman" w:hAnsi="Times New Roman"/>
          <w:color w:val="000000"/>
          <w:sz w:val="24"/>
          <w:szCs w:val="24"/>
          <w:shd w:val="clear" w:color="auto" w:fill="FFFFFF"/>
        </w:rPr>
      </w:pPr>
      <w:r w:rsidRPr="0040275B">
        <w:rPr>
          <w:rFonts w:ascii="Times New Roman" w:hAnsi="Times New Roman"/>
          <w:sz w:val="24"/>
          <w:szCs w:val="24"/>
        </w:rPr>
        <w:t>Оразнуров</w:t>
      </w:r>
      <w:r w:rsidR="00F726FA" w:rsidRPr="0040275B">
        <w:rPr>
          <w:rFonts w:ascii="Times New Roman" w:hAnsi="Times New Roman"/>
          <w:sz w:val="24"/>
          <w:szCs w:val="24"/>
        </w:rPr>
        <w:t xml:space="preserve">а Алина Ранисовна (Россия, Уфа)- студентка </w:t>
      </w:r>
      <w:r w:rsidR="0040275B">
        <w:rPr>
          <w:rFonts w:ascii="Times New Roman" w:hAnsi="Times New Roman"/>
          <w:sz w:val="24"/>
          <w:szCs w:val="24"/>
        </w:rPr>
        <w:t>ФГБОУ ВО «</w:t>
      </w:r>
      <w:r w:rsidR="00F726FA" w:rsidRPr="0040275B">
        <w:rPr>
          <w:rFonts w:ascii="Times New Roman" w:hAnsi="Times New Roman"/>
          <w:sz w:val="24"/>
          <w:szCs w:val="24"/>
        </w:rPr>
        <w:t>Башкирский государственный университет</w:t>
      </w:r>
      <w:r w:rsidR="0040275B">
        <w:rPr>
          <w:rFonts w:ascii="Times New Roman" w:hAnsi="Times New Roman"/>
          <w:sz w:val="24"/>
          <w:szCs w:val="24"/>
        </w:rPr>
        <w:t>»</w:t>
      </w:r>
      <w:r w:rsidR="00F726FA" w:rsidRPr="0040275B">
        <w:rPr>
          <w:rFonts w:ascii="Times New Roman" w:hAnsi="Times New Roman"/>
          <w:sz w:val="24"/>
          <w:szCs w:val="24"/>
        </w:rPr>
        <w:t xml:space="preserve"> (</w:t>
      </w:r>
      <w:r w:rsidR="00F726FA" w:rsidRPr="0040275B">
        <w:rPr>
          <w:rFonts w:ascii="Times New Roman" w:hAnsi="Times New Roman"/>
          <w:color w:val="000000"/>
          <w:sz w:val="24"/>
          <w:szCs w:val="24"/>
          <w:shd w:val="clear" w:color="auto" w:fill="FFFFFF"/>
        </w:rPr>
        <w:t xml:space="preserve">450076, Российская Федерация, Республика Башкортостан, г. </w:t>
      </w:r>
      <w:r w:rsidR="00F726FA" w:rsidRPr="0040275B">
        <w:rPr>
          <w:rFonts w:ascii="Times New Roman" w:hAnsi="Times New Roman"/>
          <w:color w:val="000000"/>
          <w:sz w:val="24"/>
          <w:szCs w:val="24"/>
          <w:shd w:val="clear" w:color="auto" w:fill="FFFFFF"/>
        </w:rPr>
        <w:lastRenderedPageBreak/>
        <w:t xml:space="preserve">Уфа, ул. Карла Маркса, </w:t>
      </w:r>
      <w:r w:rsidR="00F726FA" w:rsidRPr="0040275B">
        <w:rPr>
          <w:rFonts w:ascii="Times New Roman" w:hAnsi="Times New Roman"/>
          <w:color w:val="000000" w:themeColor="text1"/>
          <w:sz w:val="24"/>
          <w:szCs w:val="24"/>
          <w:shd w:val="clear" w:color="auto" w:fill="FFFFFF"/>
        </w:rPr>
        <w:t>¾</w:t>
      </w:r>
      <w:r w:rsidR="0040275B" w:rsidRPr="0040275B">
        <w:rPr>
          <w:rFonts w:ascii="Times New Roman" w:hAnsi="Times New Roman"/>
          <w:color w:val="000000" w:themeColor="text1"/>
          <w:sz w:val="24"/>
          <w:szCs w:val="24"/>
          <w:shd w:val="clear" w:color="auto" w:fill="FFFFFF"/>
        </w:rPr>
        <w:t xml:space="preserve">, </w:t>
      </w:r>
      <w:hyperlink r:id="rId5" w:history="1">
        <w:r w:rsidR="0040275B" w:rsidRPr="0040275B">
          <w:rPr>
            <w:rStyle w:val="a5"/>
            <w:rFonts w:ascii="Times New Roman" w:hAnsi="Times New Roman"/>
            <w:color w:val="000000" w:themeColor="text1"/>
            <w:sz w:val="24"/>
            <w:szCs w:val="24"/>
            <w:u w:val="none"/>
            <w:shd w:val="clear" w:color="auto" w:fill="FFFFFF"/>
          </w:rPr>
          <w:t>Alina199709@rambler.ru</w:t>
        </w:r>
      </w:hyperlink>
      <w:r w:rsidR="00F726FA" w:rsidRPr="0040275B">
        <w:rPr>
          <w:rFonts w:ascii="Times New Roman" w:hAnsi="Times New Roman"/>
          <w:color w:val="000000"/>
          <w:sz w:val="24"/>
          <w:szCs w:val="24"/>
          <w:shd w:val="clear" w:color="auto" w:fill="FFFFFF"/>
        </w:rPr>
        <w:t>)</w:t>
      </w:r>
      <w:r w:rsidR="00A26B00" w:rsidRPr="0040275B">
        <w:rPr>
          <w:rFonts w:ascii="Times New Roman" w:hAnsi="Times New Roman"/>
          <w:color w:val="000000"/>
          <w:sz w:val="24"/>
          <w:szCs w:val="24"/>
          <w:shd w:val="clear" w:color="auto" w:fill="FFFFFF"/>
        </w:rPr>
        <w:t>.</w:t>
      </w:r>
    </w:p>
    <w:p w:rsidR="0040275B" w:rsidRPr="0040275B" w:rsidRDefault="0040275B" w:rsidP="0040275B">
      <w:pPr>
        <w:widowControl w:val="0"/>
        <w:autoSpaceDE w:val="0"/>
        <w:autoSpaceDN w:val="0"/>
        <w:adjustRightInd w:val="0"/>
        <w:spacing w:after="0" w:line="240" w:lineRule="auto"/>
        <w:ind w:firstLine="851"/>
        <w:contextualSpacing/>
        <w:jc w:val="both"/>
        <w:rPr>
          <w:rFonts w:ascii="Times New Roman" w:hAnsi="Times New Roman"/>
          <w:color w:val="000000"/>
          <w:sz w:val="24"/>
          <w:szCs w:val="24"/>
          <w:shd w:val="clear" w:color="auto" w:fill="FFFFFF"/>
        </w:rPr>
      </w:pPr>
    </w:p>
    <w:p w:rsidR="0040275B" w:rsidRPr="0040275B" w:rsidRDefault="0040275B" w:rsidP="0040275B">
      <w:pPr>
        <w:widowControl w:val="0"/>
        <w:autoSpaceDE w:val="0"/>
        <w:autoSpaceDN w:val="0"/>
        <w:adjustRightInd w:val="0"/>
        <w:spacing w:after="0" w:line="240" w:lineRule="auto"/>
        <w:ind w:firstLine="851"/>
        <w:contextualSpacing/>
        <w:jc w:val="right"/>
        <w:rPr>
          <w:rFonts w:ascii="Times New Roman" w:hAnsi="Times New Roman"/>
          <w:b/>
          <w:sz w:val="24"/>
          <w:szCs w:val="24"/>
          <w:lang w:val="en-US"/>
        </w:rPr>
      </w:pPr>
      <w:r w:rsidRPr="0040275B">
        <w:rPr>
          <w:rFonts w:ascii="Times New Roman" w:hAnsi="Times New Roman"/>
          <w:b/>
          <w:sz w:val="24"/>
          <w:szCs w:val="24"/>
          <w:lang w:val="en-US"/>
        </w:rPr>
        <w:t>Oraznurova A.R.</w:t>
      </w:r>
    </w:p>
    <w:p w:rsidR="0040275B" w:rsidRPr="0040275B" w:rsidRDefault="0040275B" w:rsidP="0040275B">
      <w:pPr>
        <w:widowControl w:val="0"/>
        <w:autoSpaceDE w:val="0"/>
        <w:autoSpaceDN w:val="0"/>
        <w:adjustRightInd w:val="0"/>
        <w:spacing w:after="0" w:line="240" w:lineRule="auto"/>
        <w:contextualSpacing/>
        <w:jc w:val="center"/>
        <w:rPr>
          <w:rFonts w:ascii="Times New Roman" w:hAnsi="Times New Roman"/>
          <w:b/>
          <w:sz w:val="24"/>
          <w:szCs w:val="24"/>
          <w:lang w:val="en-US"/>
        </w:rPr>
      </w:pPr>
      <w:r w:rsidRPr="0040275B">
        <w:rPr>
          <w:rFonts w:ascii="Times New Roman" w:hAnsi="Times New Roman"/>
          <w:b/>
          <w:sz w:val="24"/>
          <w:szCs w:val="24"/>
          <w:lang w:val="en-US"/>
        </w:rPr>
        <w:t>PROBLEMS OF ESTIMATION OF EFFECTIVENESS OF PROJECTS OF STATE-PRIVATE PARTNERSHIP: METHODOLOGICAL APPROACH.</w:t>
      </w:r>
    </w:p>
    <w:p w:rsidR="0040275B" w:rsidRPr="0040275B" w:rsidRDefault="0040275B" w:rsidP="0040275B">
      <w:pPr>
        <w:widowControl w:val="0"/>
        <w:autoSpaceDE w:val="0"/>
        <w:autoSpaceDN w:val="0"/>
        <w:adjustRightInd w:val="0"/>
        <w:spacing w:after="0" w:line="240" w:lineRule="auto"/>
        <w:ind w:firstLine="851"/>
        <w:contextualSpacing/>
        <w:jc w:val="both"/>
        <w:rPr>
          <w:rFonts w:ascii="Times New Roman" w:hAnsi="Times New Roman"/>
          <w:sz w:val="24"/>
          <w:szCs w:val="24"/>
          <w:lang w:val="en-US"/>
        </w:rPr>
      </w:pPr>
    </w:p>
    <w:p w:rsidR="0040275B" w:rsidRPr="0040275B" w:rsidRDefault="0040275B" w:rsidP="0040275B">
      <w:pPr>
        <w:widowControl w:val="0"/>
        <w:autoSpaceDE w:val="0"/>
        <w:autoSpaceDN w:val="0"/>
        <w:adjustRightInd w:val="0"/>
        <w:spacing w:after="0" w:line="240" w:lineRule="auto"/>
        <w:ind w:firstLine="851"/>
        <w:contextualSpacing/>
        <w:jc w:val="both"/>
        <w:rPr>
          <w:rFonts w:ascii="Times New Roman" w:hAnsi="Times New Roman"/>
          <w:i/>
          <w:sz w:val="24"/>
          <w:szCs w:val="24"/>
          <w:lang w:val="en-US"/>
        </w:rPr>
      </w:pPr>
      <w:r w:rsidRPr="0040275B">
        <w:rPr>
          <w:rFonts w:ascii="Times New Roman" w:hAnsi="Times New Roman"/>
          <w:i/>
          <w:sz w:val="24"/>
          <w:szCs w:val="24"/>
          <w:lang w:val="en-US"/>
        </w:rPr>
        <w:t>Abstract: The topical problems of formation and selection of methodology for evaluation of public-private partnership projects in Russia, application of foreign experience</w:t>
      </w:r>
      <w:r>
        <w:rPr>
          <w:rFonts w:ascii="Times New Roman" w:hAnsi="Times New Roman"/>
          <w:i/>
          <w:sz w:val="24"/>
          <w:szCs w:val="24"/>
          <w:lang w:val="en-US"/>
        </w:rPr>
        <w:t xml:space="preserve"> are </w:t>
      </w:r>
      <w:r w:rsidRPr="0040275B">
        <w:rPr>
          <w:rFonts w:ascii="Times New Roman" w:hAnsi="Times New Roman"/>
          <w:i/>
          <w:sz w:val="24"/>
          <w:szCs w:val="24"/>
          <w:lang w:val="en-US"/>
        </w:rPr>
        <w:t>consider</w:t>
      </w:r>
      <w:r>
        <w:rPr>
          <w:rFonts w:ascii="Times New Roman" w:hAnsi="Times New Roman"/>
          <w:i/>
          <w:sz w:val="24"/>
          <w:szCs w:val="24"/>
          <w:lang w:val="en-US"/>
        </w:rPr>
        <w:t>ed in the</w:t>
      </w:r>
      <w:r w:rsidRPr="0040275B">
        <w:rPr>
          <w:rFonts w:ascii="Times New Roman" w:hAnsi="Times New Roman"/>
          <w:i/>
          <w:sz w:val="24"/>
          <w:szCs w:val="24"/>
          <w:lang w:val="en-US"/>
        </w:rPr>
        <w:t xml:space="preserve"> article. It has been revealed that to assess the effectiveness of projects is still a problem in the world practice of PPP application, since the main methods are contradictory but interdependent.</w:t>
      </w:r>
    </w:p>
    <w:p w:rsidR="0040275B" w:rsidRPr="0040275B" w:rsidRDefault="0040275B" w:rsidP="0040275B">
      <w:pPr>
        <w:widowControl w:val="0"/>
        <w:autoSpaceDE w:val="0"/>
        <w:autoSpaceDN w:val="0"/>
        <w:adjustRightInd w:val="0"/>
        <w:spacing w:after="0" w:line="240" w:lineRule="auto"/>
        <w:ind w:firstLine="851"/>
        <w:contextualSpacing/>
        <w:jc w:val="both"/>
        <w:rPr>
          <w:rFonts w:ascii="Times New Roman" w:hAnsi="Times New Roman"/>
          <w:i/>
          <w:sz w:val="24"/>
          <w:szCs w:val="24"/>
          <w:lang w:val="en-US"/>
        </w:rPr>
      </w:pPr>
      <w:r w:rsidRPr="0040275B">
        <w:rPr>
          <w:rFonts w:ascii="Times New Roman" w:hAnsi="Times New Roman"/>
          <w:i/>
          <w:sz w:val="24"/>
          <w:szCs w:val="24"/>
          <w:lang w:val="en-US"/>
        </w:rPr>
        <w:t>Key words: efficiency evaluation, public-private partnership, project efficiency.</w:t>
      </w:r>
    </w:p>
    <w:p w:rsidR="0040275B" w:rsidRDefault="0040275B" w:rsidP="0040275B">
      <w:pPr>
        <w:widowControl w:val="0"/>
        <w:autoSpaceDE w:val="0"/>
        <w:autoSpaceDN w:val="0"/>
        <w:adjustRightInd w:val="0"/>
        <w:spacing w:after="0" w:line="240" w:lineRule="auto"/>
        <w:ind w:firstLine="851"/>
        <w:contextualSpacing/>
        <w:jc w:val="both"/>
        <w:rPr>
          <w:rFonts w:ascii="Times New Roman" w:hAnsi="Times New Roman"/>
          <w:sz w:val="24"/>
          <w:szCs w:val="24"/>
          <w:lang w:val="en-US"/>
        </w:rPr>
      </w:pPr>
    </w:p>
    <w:p w:rsidR="0040275B" w:rsidRDefault="0040275B" w:rsidP="0040275B">
      <w:pPr>
        <w:widowControl w:val="0"/>
        <w:autoSpaceDE w:val="0"/>
        <w:autoSpaceDN w:val="0"/>
        <w:adjustRightInd w:val="0"/>
        <w:spacing w:after="0" w:line="240" w:lineRule="auto"/>
        <w:ind w:firstLine="851"/>
        <w:contextualSpacing/>
        <w:jc w:val="both"/>
        <w:rPr>
          <w:rFonts w:ascii="Times New Roman" w:hAnsi="Times New Roman"/>
          <w:color w:val="000000" w:themeColor="text1"/>
          <w:sz w:val="24"/>
          <w:szCs w:val="24"/>
          <w:lang w:val="en-US"/>
        </w:rPr>
      </w:pPr>
      <w:r w:rsidRPr="0040275B">
        <w:rPr>
          <w:rFonts w:ascii="Times New Roman" w:hAnsi="Times New Roman"/>
          <w:sz w:val="24"/>
          <w:szCs w:val="24"/>
          <w:lang w:val="en-US"/>
        </w:rPr>
        <w:t>Oraznurova Alina Ranisovna</w:t>
      </w:r>
      <w:r>
        <w:rPr>
          <w:rFonts w:ascii="Times New Roman" w:hAnsi="Times New Roman"/>
          <w:sz w:val="24"/>
          <w:szCs w:val="24"/>
          <w:lang w:val="en-US"/>
        </w:rPr>
        <w:t xml:space="preserve"> </w:t>
      </w:r>
      <w:r w:rsidRPr="00767330">
        <w:rPr>
          <w:rFonts w:ascii="Times New Roman" w:hAnsi="Times New Roman"/>
          <w:sz w:val="24"/>
          <w:szCs w:val="24"/>
          <w:lang w:val="en-US"/>
        </w:rPr>
        <w:t>(Russia, Ufa) – student</w:t>
      </w:r>
      <w:r>
        <w:rPr>
          <w:rFonts w:ascii="Times New Roman" w:hAnsi="Times New Roman"/>
          <w:sz w:val="24"/>
          <w:szCs w:val="24"/>
          <w:lang w:val="en-US"/>
        </w:rPr>
        <w:t xml:space="preserve"> of </w:t>
      </w:r>
      <w:r w:rsidRPr="00767330">
        <w:rPr>
          <w:rFonts w:ascii="Times New Roman" w:hAnsi="Times New Roman"/>
          <w:sz w:val="24"/>
          <w:szCs w:val="24"/>
          <w:lang w:val="en-US"/>
        </w:rPr>
        <w:t xml:space="preserve">Bashkir </w:t>
      </w:r>
      <w:r>
        <w:rPr>
          <w:rFonts w:ascii="Times New Roman" w:hAnsi="Times New Roman"/>
          <w:sz w:val="24"/>
          <w:szCs w:val="24"/>
          <w:lang w:val="en-US"/>
        </w:rPr>
        <w:t>S</w:t>
      </w:r>
      <w:r w:rsidRPr="00767330">
        <w:rPr>
          <w:rFonts w:ascii="Times New Roman" w:hAnsi="Times New Roman"/>
          <w:sz w:val="24"/>
          <w:szCs w:val="24"/>
          <w:lang w:val="en-US"/>
        </w:rPr>
        <w:t>tate University (Russia, Republic of Bashkortostan, Ufa, ¾</w:t>
      </w:r>
      <w:r>
        <w:rPr>
          <w:rFonts w:ascii="Times New Roman" w:hAnsi="Times New Roman"/>
          <w:sz w:val="24"/>
          <w:szCs w:val="24"/>
          <w:lang w:val="en-US"/>
        </w:rPr>
        <w:t>,</w:t>
      </w:r>
      <w:r w:rsidRPr="00767330">
        <w:rPr>
          <w:rFonts w:ascii="Times New Roman" w:hAnsi="Times New Roman"/>
          <w:sz w:val="24"/>
          <w:szCs w:val="24"/>
          <w:lang w:val="en-US"/>
        </w:rPr>
        <w:t xml:space="preserve"> </w:t>
      </w:r>
      <w:r>
        <w:rPr>
          <w:rFonts w:ascii="Times New Roman" w:hAnsi="Times New Roman"/>
          <w:sz w:val="24"/>
          <w:szCs w:val="24"/>
          <w:lang w:val="en-US"/>
        </w:rPr>
        <w:t>K</w:t>
      </w:r>
      <w:r w:rsidRPr="00767330">
        <w:rPr>
          <w:rFonts w:ascii="Times New Roman" w:hAnsi="Times New Roman"/>
          <w:sz w:val="24"/>
          <w:szCs w:val="24"/>
          <w:lang w:val="en-US"/>
        </w:rPr>
        <w:t>. Marx</w:t>
      </w:r>
      <w:r>
        <w:rPr>
          <w:rFonts w:ascii="Times New Roman" w:hAnsi="Times New Roman"/>
          <w:sz w:val="24"/>
          <w:szCs w:val="24"/>
          <w:lang w:val="en-US"/>
        </w:rPr>
        <w:t xml:space="preserve"> str.</w:t>
      </w:r>
      <w:r w:rsidRPr="00767330">
        <w:rPr>
          <w:rFonts w:ascii="Times New Roman" w:hAnsi="Times New Roman"/>
          <w:sz w:val="24"/>
          <w:szCs w:val="24"/>
          <w:lang w:val="en-US"/>
        </w:rPr>
        <w:t>,</w:t>
      </w:r>
      <w:r w:rsidRPr="0040275B">
        <w:rPr>
          <w:rFonts w:ascii="Times New Roman" w:hAnsi="Times New Roman"/>
          <w:color w:val="000000" w:themeColor="text1"/>
          <w:sz w:val="24"/>
          <w:szCs w:val="24"/>
          <w:shd w:val="clear" w:color="auto" w:fill="FFFFFF"/>
          <w:lang w:val="en-US"/>
        </w:rPr>
        <w:t xml:space="preserve"> </w:t>
      </w:r>
      <w:hyperlink r:id="rId6" w:history="1">
        <w:r w:rsidRPr="0040275B">
          <w:rPr>
            <w:rStyle w:val="a5"/>
            <w:rFonts w:ascii="Times New Roman" w:hAnsi="Times New Roman"/>
            <w:color w:val="000000" w:themeColor="text1"/>
            <w:sz w:val="24"/>
            <w:szCs w:val="24"/>
            <w:u w:val="none"/>
            <w:shd w:val="clear" w:color="auto" w:fill="FFFFFF"/>
            <w:lang w:val="en-US"/>
          </w:rPr>
          <w:t>Alina199709@rambler.ru</w:t>
        </w:r>
      </w:hyperlink>
    </w:p>
    <w:p w:rsidR="0040275B" w:rsidRPr="0040275B" w:rsidRDefault="0040275B" w:rsidP="0040275B">
      <w:pPr>
        <w:widowControl w:val="0"/>
        <w:autoSpaceDE w:val="0"/>
        <w:autoSpaceDN w:val="0"/>
        <w:adjustRightInd w:val="0"/>
        <w:spacing w:after="0" w:line="240" w:lineRule="auto"/>
        <w:ind w:firstLine="851"/>
        <w:contextualSpacing/>
        <w:jc w:val="both"/>
        <w:rPr>
          <w:rFonts w:ascii="Times New Roman" w:hAnsi="Times New Roman"/>
          <w:color w:val="000000" w:themeColor="text1"/>
          <w:sz w:val="24"/>
          <w:szCs w:val="24"/>
          <w:lang w:val="en-US"/>
        </w:rPr>
      </w:pPr>
    </w:p>
    <w:p w:rsidR="0040275B" w:rsidRPr="0040275B" w:rsidRDefault="0040275B" w:rsidP="0040275B">
      <w:pPr>
        <w:spacing w:after="0" w:line="240" w:lineRule="auto"/>
        <w:jc w:val="center"/>
        <w:rPr>
          <w:rFonts w:ascii="Times New Roman" w:hAnsi="Times New Roman"/>
          <w:sz w:val="24"/>
          <w:szCs w:val="24"/>
          <w:lang w:val="en-US"/>
        </w:rPr>
      </w:pPr>
      <w:r w:rsidRPr="00C700B2">
        <w:rPr>
          <w:rFonts w:ascii="Times New Roman" w:hAnsi="Times New Roman"/>
          <w:b/>
          <w:sz w:val="24"/>
          <w:szCs w:val="24"/>
        </w:rPr>
        <w:t>Список литературы на английском языке</w:t>
      </w:r>
    </w:p>
    <w:p w:rsidR="0040275B" w:rsidRPr="0040275B" w:rsidRDefault="0040275B" w:rsidP="0040275B">
      <w:pPr>
        <w:widowControl w:val="0"/>
        <w:autoSpaceDE w:val="0"/>
        <w:autoSpaceDN w:val="0"/>
        <w:adjustRightInd w:val="0"/>
        <w:spacing w:after="0" w:line="240" w:lineRule="auto"/>
        <w:ind w:firstLine="851"/>
        <w:contextualSpacing/>
        <w:jc w:val="both"/>
        <w:rPr>
          <w:rFonts w:ascii="Times New Roman" w:hAnsi="Times New Roman"/>
          <w:sz w:val="24"/>
          <w:szCs w:val="24"/>
          <w:lang w:val="en-US"/>
        </w:rPr>
      </w:pPr>
      <w:r w:rsidRPr="0040275B">
        <w:rPr>
          <w:rFonts w:ascii="Times New Roman" w:hAnsi="Times New Roman"/>
          <w:sz w:val="24"/>
          <w:szCs w:val="24"/>
          <w:lang w:val="en-US"/>
        </w:rPr>
        <w:t>1. Order of the Ministry of Economic Development and Trade of the Russian Federation No. 894 of November 30, 2015 "On Approval of the Methodology for Evaluating the Efficiency of the Public-Private Partnership Project, Municipal-Private Partnership Projects and Determining Their Comparative Advantage" (Registered in the Ministry of Justice of Russia on December 30, 2015, No. 40375)</w:t>
      </w:r>
    </w:p>
    <w:p w:rsidR="0040275B" w:rsidRPr="0040275B" w:rsidRDefault="0040275B" w:rsidP="0040275B">
      <w:pPr>
        <w:widowControl w:val="0"/>
        <w:autoSpaceDE w:val="0"/>
        <w:autoSpaceDN w:val="0"/>
        <w:adjustRightInd w:val="0"/>
        <w:spacing w:after="0" w:line="240" w:lineRule="auto"/>
        <w:ind w:firstLine="851"/>
        <w:contextualSpacing/>
        <w:jc w:val="both"/>
        <w:rPr>
          <w:rFonts w:ascii="Times New Roman" w:hAnsi="Times New Roman"/>
          <w:sz w:val="24"/>
          <w:szCs w:val="24"/>
          <w:lang w:val="en-US"/>
        </w:rPr>
      </w:pPr>
      <w:r w:rsidRPr="0040275B">
        <w:rPr>
          <w:rFonts w:ascii="Times New Roman" w:hAnsi="Times New Roman"/>
          <w:sz w:val="24"/>
          <w:szCs w:val="24"/>
          <w:lang w:val="en-US"/>
        </w:rPr>
        <w:t>2. Methodical recommendations on the evaluation of the effectiveness of investment projects "(approved by the Ministry of Economics of the Russian Federation, the Ministry of Finance of the Russian Federation, Gosstroy RF on 21.06.1999 N VK 477).</w:t>
      </w:r>
    </w:p>
    <w:p w:rsidR="0040275B" w:rsidRPr="0040275B" w:rsidRDefault="0040275B" w:rsidP="0040275B">
      <w:pPr>
        <w:widowControl w:val="0"/>
        <w:autoSpaceDE w:val="0"/>
        <w:autoSpaceDN w:val="0"/>
        <w:adjustRightInd w:val="0"/>
        <w:spacing w:after="0" w:line="240" w:lineRule="auto"/>
        <w:ind w:firstLine="851"/>
        <w:contextualSpacing/>
        <w:jc w:val="both"/>
        <w:rPr>
          <w:rFonts w:ascii="Times New Roman" w:hAnsi="Times New Roman"/>
          <w:sz w:val="24"/>
          <w:szCs w:val="24"/>
          <w:lang w:val="en-US"/>
        </w:rPr>
      </w:pPr>
      <w:r w:rsidRPr="0040275B">
        <w:rPr>
          <w:rFonts w:ascii="Times New Roman" w:hAnsi="Times New Roman"/>
          <w:sz w:val="24"/>
          <w:szCs w:val="24"/>
          <w:lang w:val="en-US"/>
        </w:rPr>
        <w:t>3. Varnavsky VG, Klimenko AV, Korolev VA Public private partnership. Theory and practice / V.G. Varnavsky, A.V. Klimenko, V.A. Korolev. - M .: The Publishing House of the State University of Higher School of Economics, 2010. - 287 c.</w:t>
      </w:r>
    </w:p>
    <w:p w:rsidR="0040275B" w:rsidRPr="0040275B" w:rsidRDefault="0040275B" w:rsidP="0040275B">
      <w:pPr>
        <w:widowControl w:val="0"/>
        <w:autoSpaceDE w:val="0"/>
        <w:autoSpaceDN w:val="0"/>
        <w:adjustRightInd w:val="0"/>
        <w:spacing w:after="0" w:line="240" w:lineRule="auto"/>
        <w:ind w:firstLine="851"/>
        <w:contextualSpacing/>
        <w:jc w:val="both"/>
        <w:rPr>
          <w:rFonts w:ascii="Times New Roman" w:hAnsi="Times New Roman"/>
          <w:sz w:val="24"/>
          <w:szCs w:val="24"/>
          <w:lang w:val="en-US"/>
        </w:rPr>
      </w:pPr>
      <w:r w:rsidRPr="0040275B">
        <w:rPr>
          <w:rFonts w:ascii="Times New Roman" w:hAnsi="Times New Roman"/>
          <w:sz w:val="24"/>
          <w:szCs w:val="24"/>
          <w:lang w:val="en-US"/>
        </w:rPr>
        <w:t>4. Evstafyeva I.Yu., Prisyazhnaya R.I. Finance and innovative development of Russia //11.Corporate finance and realities of the XXI century / under. Ed. V.A. Chernenko, M.V. Romanovsky. - St. Petersburg: Asterion, 2016. - 164 p.</w:t>
      </w:r>
    </w:p>
    <w:p w:rsidR="0040275B" w:rsidRPr="0040275B" w:rsidRDefault="0040275B" w:rsidP="0040275B">
      <w:pPr>
        <w:widowControl w:val="0"/>
        <w:autoSpaceDE w:val="0"/>
        <w:autoSpaceDN w:val="0"/>
        <w:adjustRightInd w:val="0"/>
        <w:spacing w:after="0" w:line="240" w:lineRule="auto"/>
        <w:ind w:firstLine="851"/>
        <w:contextualSpacing/>
        <w:jc w:val="both"/>
        <w:rPr>
          <w:rFonts w:ascii="Times New Roman" w:hAnsi="Times New Roman"/>
          <w:sz w:val="24"/>
          <w:szCs w:val="24"/>
          <w:lang w:val="en-US"/>
        </w:rPr>
      </w:pPr>
      <w:r w:rsidRPr="0040275B">
        <w:rPr>
          <w:rFonts w:ascii="Times New Roman" w:hAnsi="Times New Roman"/>
          <w:sz w:val="24"/>
          <w:szCs w:val="24"/>
          <w:lang w:val="en-US"/>
        </w:rPr>
        <w:t>5. Toktamysheva Yu.S. Evaluation of macroeconomic goals of the national economy / / Kazan Science. 2012. No. 12. P.148-155</w:t>
      </w:r>
    </w:p>
    <w:sectPr w:rsidR="0040275B" w:rsidRPr="0040275B" w:rsidSect="005E2A18">
      <w:pgSz w:w="12240" w:h="15840" w:code="1"/>
      <w:pgMar w:top="1134" w:right="1134" w:bottom="1134" w:left="1134" w:header="720" w:footer="720" w:gutter="0"/>
      <w:cols w:space="720"/>
      <w:noEndnote/>
      <w:docGrid w:linePitch="29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defaultTabStop w:val="709"/>
  <w:drawingGridHorizontalSpacing w:val="110"/>
  <w:drawingGridVerticalSpacing w:val="120"/>
  <w:displayHorizontalDrawingGridEvery w:val="0"/>
  <w:displayVerticalDrawingGridEvery w:val="3"/>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
  <w:rsids>
    <w:rsidRoot w:val="003E7DCF"/>
    <w:rsid w:val="00086241"/>
    <w:rsid w:val="000B398E"/>
    <w:rsid w:val="000F129B"/>
    <w:rsid w:val="00170C3B"/>
    <w:rsid w:val="00171E8A"/>
    <w:rsid w:val="001728E4"/>
    <w:rsid w:val="001C796E"/>
    <w:rsid w:val="0021137B"/>
    <w:rsid w:val="00220928"/>
    <w:rsid w:val="002607ED"/>
    <w:rsid w:val="00280AF0"/>
    <w:rsid w:val="00280D3D"/>
    <w:rsid w:val="002D0B44"/>
    <w:rsid w:val="003E7DCF"/>
    <w:rsid w:val="0040275B"/>
    <w:rsid w:val="00407EF2"/>
    <w:rsid w:val="004233E3"/>
    <w:rsid w:val="00457A0D"/>
    <w:rsid w:val="005E2A18"/>
    <w:rsid w:val="006305DF"/>
    <w:rsid w:val="00665122"/>
    <w:rsid w:val="006D4AA5"/>
    <w:rsid w:val="006E3DF6"/>
    <w:rsid w:val="00732B01"/>
    <w:rsid w:val="00767330"/>
    <w:rsid w:val="0078033A"/>
    <w:rsid w:val="007C4F7D"/>
    <w:rsid w:val="008B5322"/>
    <w:rsid w:val="009D13DA"/>
    <w:rsid w:val="00A02C2A"/>
    <w:rsid w:val="00A056C2"/>
    <w:rsid w:val="00A26B00"/>
    <w:rsid w:val="00A313CD"/>
    <w:rsid w:val="00AC2C8A"/>
    <w:rsid w:val="00AD06E5"/>
    <w:rsid w:val="00B029D1"/>
    <w:rsid w:val="00B066BE"/>
    <w:rsid w:val="00C67641"/>
    <w:rsid w:val="00C700B2"/>
    <w:rsid w:val="00D26EAE"/>
    <w:rsid w:val="00D809D3"/>
    <w:rsid w:val="00E46137"/>
    <w:rsid w:val="00E8612B"/>
    <w:rsid w:val="00F726F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E7DC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locked/>
    <w:rsid w:val="003E7DCF"/>
    <w:rPr>
      <w:rFonts w:ascii="Tahoma" w:hAnsi="Tahoma" w:cs="Tahoma"/>
      <w:sz w:val="16"/>
      <w:szCs w:val="16"/>
    </w:rPr>
  </w:style>
  <w:style w:type="character" w:styleId="a5">
    <w:name w:val="Hyperlink"/>
    <w:basedOn w:val="a0"/>
    <w:uiPriority w:val="99"/>
    <w:unhideWhenUsed/>
    <w:rsid w:val="00A313CD"/>
    <w:rPr>
      <w:rFonts w:cs="Times New Roman"/>
      <w:color w:val="0000FF" w:themeColor="hyperlink"/>
      <w:u w:val="single"/>
    </w:rPr>
  </w:style>
  <w:style w:type="table" w:styleId="a6">
    <w:name w:val="Table Grid"/>
    <w:basedOn w:val="a1"/>
    <w:uiPriority w:val="59"/>
    <w:rsid w:val="00A02C2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134401807">
      <w:marLeft w:val="0"/>
      <w:marRight w:val="0"/>
      <w:marTop w:val="0"/>
      <w:marBottom w:val="0"/>
      <w:divBdr>
        <w:top w:val="none" w:sz="0" w:space="0" w:color="auto"/>
        <w:left w:val="none" w:sz="0" w:space="0" w:color="auto"/>
        <w:bottom w:val="none" w:sz="0" w:space="0" w:color="auto"/>
        <w:right w:val="none" w:sz="0" w:space="0" w:color="auto"/>
      </w:divBdr>
    </w:div>
    <w:div w:id="213440180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Alina199709@rambler.ru" TargetMode="External"/><Relationship Id="rId5" Type="http://schemas.openxmlformats.org/officeDocument/2006/relationships/hyperlink" Target="mailto:Alina199709@rambler.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93D744-A90B-427F-8284-D6AB1C2165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1347</Words>
  <Characters>10032</Characters>
  <Application>Microsoft Office Word</Application>
  <DocSecurity>0</DocSecurity>
  <Lines>83</Lines>
  <Paragraphs>22</Paragraphs>
  <ScaleCrop>false</ScaleCrop>
  <Company>Microsoft</Company>
  <LinksUpToDate>false</LinksUpToDate>
  <CharactersWithSpaces>11357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Аделия Валитова</dc:creator>
  <cp:lastModifiedBy>admin</cp:lastModifiedBy>
  <cp:revision>2</cp:revision>
  <dcterms:created xsi:type="dcterms:W3CDTF">2018-05-15T13:16:00Z</dcterms:created>
  <dcterms:modified xsi:type="dcterms:W3CDTF">2018-05-15T13:16:00Z</dcterms:modified>
</cp:coreProperties>
</file>