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613F" w:rsidRDefault="00FE2B5D">
      <w:pPr>
        <w:spacing w:line="360" w:lineRule="auto"/>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УДК 330.322.011</w:t>
      </w:r>
    </w:p>
    <w:p w:rsidR="00D7613F" w:rsidRDefault="00FE2B5D">
      <w:pPr>
        <w:jc w:val="right"/>
        <w:rPr>
          <w:rFonts w:ascii="Times New Roman" w:eastAsia="Times New Roman" w:hAnsi="Times New Roman" w:cs="Times New Roman"/>
          <w:sz w:val="28"/>
          <w:szCs w:val="28"/>
        </w:rPr>
      </w:pPr>
      <w:r>
        <w:rPr>
          <w:rFonts w:ascii="Times New Roman" w:eastAsia="Times New Roman" w:hAnsi="Times New Roman" w:cs="Times New Roman"/>
          <w:b/>
          <w:i/>
          <w:sz w:val="28"/>
          <w:szCs w:val="28"/>
        </w:rPr>
        <w:t>Русак Ирина Николаевна</w:t>
      </w:r>
    </w:p>
    <w:p w:rsidR="00D7613F" w:rsidRDefault="00FE2B5D">
      <w:pPr>
        <w:jc w:val="right"/>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Коваленко Алина Игоревна</w:t>
      </w:r>
    </w:p>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ИНВЕСТИЦИОННОГО ПОТЕНЦИАЛА РЕГИОНОВ РЕСПУБЛИКИ БЕЛАРУСЬ</w:t>
      </w:r>
    </w:p>
    <w:p w:rsidR="00D7613F" w:rsidRDefault="00D7613F">
      <w:pPr>
        <w:jc w:val="center"/>
        <w:rPr>
          <w:rFonts w:ascii="Times New Roman" w:eastAsia="Times New Roman" w:hAnsi="Times New Roman" w:cs="Times New Roman"/>
          <w:sz w:val="24"/>
          <w:szCs w:val="24"/>
        </w:rPr>
      </w:pPr>
    </w:p>
    <w:p w:rsidR="00D7613F" w:rsidRDefault="00FE2B5D">
      <w:pPr>
        <w:shd w:val="clear" w:color="auto" w:fill="FFFFFF"/>
        <w:ind w:firstLine="709"/>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Аннотация: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 статье рассмотрены вопросы оценки инвестиционного потенциала на уровне областей Республики Беларусь, проведен расчет общего инвестиционного потенциала регионов с использованием индексного метода, дана оценка территориального размещения ресурсов для привл</w:t>
      </w:r>
      <w:r>
        <w:rPr>
          <w:rFonts w:ascii="Times New Roman" w:eastAsia="Times New Roman" w:hAnsi="Times New Roman" w:cs="Times New Roman"/>
          <w:i/>
          <w:sz w:val="24"/>
          <w:szCs w:val="24"/>
        </w:rPr>
        <w:t>ечения иностранных инвестиций на региональном уровне.</w:t>
      </w:r>
      <w:r>
        <w:rPr>
          <w:rFonts w:ascii="Times New Roman" w:eastAsia="Times New Roman" w:hAnsi="Times New Roman" w:cs="Times New Roman"/>
          <w:sz w:val="24"/>
          <w:szCs w:val="24"/>
        </w:rPr>
        <w:t xml:space="preserve"> </w:t>
      </w:r>
    </w:p>
    <w:p w:rsidR="00D7613F" w:rsidRDefault="00FE2B5D">
      <w:pPr>
        <w:shd w:val="clear" w:color="auto" w:fill="FFFFFF"/>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Ключевые слова: </w:t>
      </w:r>
      <w:r>
        <w:rPr>
          <w:rFonts w:ascii="Times New Roman" w:eastAsia="Times New Roman" w:hAnsi="Times New Roman" w:cs="Times New Roman"/>
          <w:i/>
          <w:sz w:val="24"/>
          <w:szCs w:val="24"/>
        </w:rPr>
        <w:t>инвестиционный потенциал, инвестиционная позиция, территориальное размещение, регионы Республики Беларусь</w:t>
      </w:r>
    </w:p>
    <w:p w:rsidR="00D7613F" w:rsidRDefault="00D7613F">
      <w:pPr>
        <w:ind w:firstLine="709"/>
        <w:jc w:val="both"/>
        <w:rPr>
          <w:rFonts w:ascii="Times New Roman" w:eastAsia="Times New Roman" w:hAnsi="Times New Roman" w:cs="Times New Roman"/>
          <w:sz w:val="28"/>
          <w:szCs w:val="28"/>
        </w:rPr>
      </w:pP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Инвестиции являются важнейшим фактором формирования конкурентного преимущества</w:t>
      </w:r>
      <w:r>
        <w:rPr>
          <w:rFonts w:ascii="Times New Roman" w:eastAsia="Times New Roman" w:hAnsi="Times New Roman" w:cs="Times New Roman"/>
          <w:sz w:val="24"/>
          <w:szCs w:val="24"/>
        </w:rPr>
        <w:t xml:space="preserve"> региона. Поэтому так актуальна проблема создания эффективной системы управления инвестиционной активностью региона как части единого инвестиционного процесса. На данный момент у органов государственного управления и местного самоуправления не сформировало</w:t>
      </w:r>
      <w:r>
        <w:rPr>
          <w:rFonts w:ascii="Times New Roman" w:eastAsia="Times New Roman" w:hAnsi="Times New Roman" w:cs="Times New Roman"/>
          <w:sz w:val="24"/>
          <w:szCs w:val="24"/>
        </w:rPr>
        <w:t xml:space="preserve">сь целостное представление о направлениях решения проблемы активизации инвестиционного процесса на региональном уровне. </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чем искать потенциального инвестора и предлагать ему вложить средства в тот или иной регион страны, необходимо произвести оценку</w:t>
      </w:r>
      <w:r>
        <w:rPr>
          <w:rFonts w:ascii="Times New Roman" w:eastAsia="Times New Roman" w:hAnsi="Times New Roman" w:cs="Times New Roman"/>
          <w:sz w:val="24"/>
          <w:szCs w:val="24"/>
        </w:rPr>
        <w:t xml:space="preserve"> инвестиционного потенциала областей и города Минска Республики Беларусь. Оценка является важным этапом инвестиционной деятельности: проанализировав и сопоставив потенциальные ресурсы, инвестор принимает окончательное решение о направлении инвестиций, спос</w:t>
      </w:r>
      <w:r>
        <w:rPr>
          <w:rFonts w:ascii="Times New Roman" w:eastAsia="Times New Roman" w:hAnsi="Times New Roman" w:cs="Times New Roman"/>
          <w:sz w:val="24"/>
          <w:szCs w:val="24"/>
        </w:rPr>
        <w:t xml:space="preserve">обе вложения капитала и размере желаемого вознаграждения. В связи с этим, уровень инвестиционного потенциала регионов может служить одним из индикаторов для органов государственного управления и местного самоуправления при принятии  управленческих решений </w:t>
      </w:r>
      <w:r>
        <w:rPr>
          <w:rFonts w:ascii="Times New Roman" w:eastAsia="Times New Roman" w:hAnsi="Times New Roman" w:cs="Times New Roman"/>
          <w:sz w:val="24"/>
          <w:szCs w:val="24"/>
        </w:rPr>
        <w:t>для инвестиционной сферы.</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инвестиционного потенциала регионов была проведена на основании статистических данных за 2005-2015 годы с учетом из преобразований и расчетом на их основе интегрального индекса инвестиционного потенциала региона (рисунок 1.1).</w:t>
      </w:r>
    </w:p>
    <w:p w:rsidR="00D7613F" w:rsidRDefault="00FE2B5D">
      <w:pPr>
        <w:spacing w:line="360" w:lineRule="auto"/>
        <w:jc w:val="both"/>
        <w:rPr>
          <w:rFonts w:ascii="Times New Roman" w:eastAsia="Times New Roman" w:hAnsi="Times New Roman" w:cs="Times New Roman"/>
          <w:sz w:val="28"/>
          <w:szCs w:val="28"/>
        </w:rPr>
      </w:pPr>
      <w:r>
        <w:rPr>
          <w:noProof/>
        </w:rPr>
        <w:drawing>
          <wp:inline distT="0" distB="0" distL="114300" distR="114300">
            <wp:extent cx="6093460" cy="115189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6093460" cy="1151890"/>
                    </a:xfrm>
                    <a:prstGeom prst="rect">
                      <a:avLst/>
                    </a:prstGeom>
                    <a:ln/>
                  </pic:spPr>
                </pic:pic>
              </a:graphicData>
            </a:graphic>
          </wp:inline>
        </w:drawing>
      </w:r>
    </w:p>
    <w:p w:rsidR="00D7613F" w:rsidRDefault="00FE2B5D">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1.  Этапы пр</w:t>
      </w:r>
      <w:r>
        <w:rPr>
          <w:rFonts w:ascii="Times New Roman" w:eastAsia="Times New Roman" w:hAnsi="Times New Roman" w:cs="Times New Roman"/>
          <w:sz w:val="24"/>
          <w:szCs w:val="24"/>
        </w:rPr>
        <w:t>еобразований статистических данных</w:t>
      </w:r>
    </w:p>
    <w:p w:rsidR="00D7613F" w:rsidRDefault="00FE2B5D">
      <w:pPr>
        <w:spacing w:line="360" w:lineRule="auto"/>
        <w:ind w:firstLine="709"/>
        <w:jc w:val="cente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Примечание – Источник: собственная разработка на основе [1].</w:t>
      </w:r>
    </w:p>
    <w:p w:rsidR="00D7613F" w:rsidRDefault="00D7613F">
      <w:pPr>
        <w:spacing w:line="360" w:lineRule="auto"/>
        <w:ind w:firstLine="709"/>
        <w:jc w:val="center"/>
        <w:rPr>
          <w:rFonts w:ascii="Times New Roman" w:eastAsia="Times New Roman" w:hAnsi="Times New Roman" w:cs="Times New Roman"/>
        </w:rPr>
      </w:pP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Первичные данные </w:t>
      </w:r>
      <w:r>
        <w:rPr>
          <w:noProof/>
        </w:rPr>
        <w:drawing>
          <wp:inline distT="0" distB="0" distL="114300" distR="114300">
            <wp:extent cx="219075" cy="20955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219075" cy="209550"/>
                    </a:xfrm>
                    <a:prstGeom prst="rect">
                      <a:avLst/>
                    </a:prstGeom>
                    <a:ln/>
                  </pic:spPr>
                </pic:pic>
              </a:graphicData>
            </a:graphic>
          </wp:inline>
        </w:drawing>
      </w:r>
      <w:r>
        <w:rPr>
          <w:noProof/>
        </w:rPr>
        <w:drawing>
          <wp:inline distT="0" distB="0" distL="114300" distR="114300">
            <wp:extent cx="219075" cy="20955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19075" cy="209550"/>
                    </a:xfrm>
                    <a:prstGeom prst="rect">
                      <a:avLst/>
                    </a:prstGeom>
                    <a:ln/>
                  </pic:spPr>
                </pic:pic>
              </a:graphicData>
            </a:graphic>
          </wp:inline>
        </w:drawing>
      </w:r>
      <w:r>
        <w:rPr>
          <w:rFonts w:ascii="Times New Roman" w:eastAsia="Times New Roman" w:hAnsi="Times New Roman" w:cs="Times New Roman"/>
          <w:sz w:val="24"/>
          <w:szCs w:val="24"/>
        </w:rPr>
        <w:t xml:space="preserve"> (q – номер города, c – номер показателя) нормированы в индикаторы методом минимум-максимум, который преобразовывает все данные в диапазон [</w:t>
      </w:r>
      <w:r>
        <w:rPr>
          <w:rFonts w:ascii="Times New Roman" w:eastAsia="Times New Roman" w:hAnsi="Times New Roman" w:cs="Times New Roman"/>
          <w:sz w:val="24"/>
          <w:szCs w:val="24"/>
        </w:rPr>
        <w:t>0,1] по формуле:</w:t>
      </w:r>
    </w:p>
    <w:p w:rsidR="00D7613F" w:rsidRDefault="00FE2B5D">
      <w:pPr>
        <w:spacing w:line="360" w:lineRule="auto"/>
        <w:ind w:firstLine="709"/>
        <w:jc w:val="right"/>
        <w:rPr>
          <w:rFonts w:ascii="Times New Roman" w:eastAsia="Times New Roman" w:hAnsi="Times New Roman" w:cs="Times New Roman"/>
          <w:sz w:val="28"/>
          <w:szCs w:val="28"/>
        </w:rPr>
      </w:pPr>
      <w:r>
        <w:rPr>
          <w:noProof/>
        </w:rPr>
        <w:drawing>
          <wp:inline distT="0" distB="0" distL="114300" distR="114300">
            <wp:extent cx="1724025" cy="3810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724025" cy="381000"/>
                    </a:xfrm>
                    <a:prstGeom prst="rect">
                      <a:avLst/>
                    </a:prstGeom>
                    <a:ln/>
                  </pic:spPr>
                </pic:pic>
              </a:graphicData>
            </a:graphic>
          </wp:inline>
        </w:drawing>
      </w:r>
      <w:r>
        <w:rPr>
          <w:noProof/>
        </w:rPr>
        <w:drawing>
          <wp:inline distT="0" distB="0" distL="114300" distR="114300">
            <wp:extent cx="1724025" cy="3810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724025" cy="381000"/>
                    </a:xfrm>
                    <a:prstGeom prst="rect">
                      <a:avLst/>
                    </a:prstGeom>
                    <a:ln/>
                  </pic:spPr>
                </pic:pic>
              </a:graphicData>
            </a:graphic>
          </wp:inline>
        </w:drawing>
      </w:r>
      <w:r>
        <w:rPr>
          <w:rFonts w:ascii="Times New Roman" w:eastAsia="Times New Roman" w:hAnsi="Times New Roman" w:cs="Times New Roman"/>
          <w:sz w:val="28"/>
          <w:szCs w:val="28"/>
        </w:rPr>
        <w:t xml:space="preserve">                                                 (1)</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r>
        <w:rPr>
          <w:noProof/>
        </w:rPr>
        <w:drawing>
          <wp:inline distT="0" distB="0" distL="114300" distR="114300">
            <wp:extent cx="638175" cy="20955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638175" cy="209550"/>
                    </a:xfrm>
                    <a:prstGeom prst="rect">
                      <a:avLst/>
                    </a:prstGeom>
                    <a:ln/>
                  </pic:spPr>
                </pic:pic>
              </a:graphicData>
            </a:graphic>
          </wp:inline>
        </w:drawing>
      </w:r>
      <w:r>
        <w:rPr>
          <w:noProof/>
        </w:rPr>
        <w:drawing>
          <wp:inline distT="0" distB="0" distL="114300" distR="114300">
            <wp:extent cx="638175" cy="209550"/>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638175" cy="209550"/>
                    </a:xfrm>
                    <a:prstGeom prst="rect">
                      <a:avLst/>
                    </a:prstGeom>
                    <a:ln/>
                  </pic:spPr>
                </pic:pic>
              </a:graphicData>
            </a:graphic>
          </wp:inline>
        </w:drawing>
      </w:r>
      <w:r>
        <w:rPr>
          <w:rFonts w:ascii="Times New Roman" w:eastAsia="Times New Roman" w:hAnsi="Times New Roman" w:cs="Times New Roman"/>
          <w:sz w:val="24"/>
          <w:szCs w:val="24"/>
        </w:rPr>
        <w:t xml:space="preserve"> и </w:t>
      </w:r>
      <w:r>
        <w:rPr>
          <w:noProof/>
        </w:rPr>
        <w:drawing>
          <wp:inline distT="0" distB="0" distL="114300" distR="114300">
            <wp:extent cx="628650" cy="219075"/>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628650" cy="219075"/>
                    </a:xfrm>
                    <a:prstGeom prst="rect">
                      <a:avLst/>
                    </a:prstGeom>
                    <a:ln/>
                  </pic:spPr>
                </pic:pic>
              </a:graphicData>
            </a:graphic>
          </wp:inline>
        </w:drawing>
      </w:r>
      <w:r>
        <w:rPr>
          <w:noProof/>
        </w:rPr>
        <w:drawing>
          <wp:inline distT="0" distB="0" distL="114300" distR="114300">
            <wp:extent cx="628650" cy="219075"/>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628650" cy="219075"/>
                    </a:xfrm>
                    <a:prstGeom prst="rect">
                      <a:avLst/>
                    </a:prstGeom>
                    <a:ln/>
                  </pic:spPr>
                </pic:pic>
              </a:graphicData>
            </a:graphic>
          </wp:inline>
        </w:drawing>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нижняя</w:t>
      </w:r>
      <w:proofErr w:type="gramEnd"/>
      <w:r>
        <w:rPr>
          <w:rFonts w:ascii="Times New Roman" w:eastAsia="Times New Roman" w:hAnsi="Times New Roman" w:cs="Times New Roman"/>
          <w:sz w:val="24"/>
          <w:szCs w:val="24"/>
        </w:rPr>
        <w:t xml:space="preserve"> и верхняя границы для за </w:t>
      </w:r>
      <w:r>
        <w:rPr>
          <w:rFonts w:ascii="Times New Roman" w:eastAsia="Times New Roman" w:hAnsi="Times New Roman" w:cs="Times New Roman"/>
          <w:sz w:val="24"/>
          <w:szCs w:val="24"/>
        </w:rPr>
        <w:lastRenderedPageBreak/>
        <w:t>выбранный период времени. Вариант нормирования первичных данных позволяет составлять тренды индикатора во времени. Введенное преобразовани</w:t>
      </w:r>
      <w:r>
        <w:rPr>
          <w:rFonts w:ascii="Times New Roman" w:eastAsia="Times New Roman" w:hAnsi="Times New Roman" w:cs="Times New Roman"/>
          <w:sz w:val="24"/>
          <w:szCs w:val="24"/>
        </w:rPr>
        <w:t>е остается устойчивым, если данные для всех моментов времени попадают в интервал</w:t>
      </w:r>
      <w:proofErr w:type="gramStart"/>
      <w:r>
        <w:rPr>
          <w:rFonts w:ascii="Times New Roman" w:eastAsia="Times New Roman" w:hAnsi="Times New Roman" w:cs="Times New Roman"/>
          <w:sz w:val="24"/>
          <w:szCs w:val="24"/>
        </w:rPr>
        <w:t xml:space="preserve"> [</w:t>
      </w:r>
      <w:r>
        <w:rPr>
          <w:noProof/>
        </w:rPr>
        <w:drawing>
          <wp:inline distT="0" distB="0" distL="114300" distR="114300">
            <wp:extent cx="638175" cy="20955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638175" cy="209550"/>
                    </a:xfrm>
                    <a:prstGeom prst="rect">
                      <a:avLst/>
                    </a:prstGeom>
                    <a:ln/>
                  </pic:spPr>
                </pic:pic>
              </a:graphicData>
            </a:graphic>
          </wp:inline>
        </w:drawing>
      </w:r>
      <w:r>
        <w:rPr>
          <w:noProof/>
        </w:rPr>
        <w:drawing>
          <wp:inline distT="0" distB="0" distL="114300" distR="114300">
            <wp:extent cx="638175" cy="209550"/>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638175" cy="209550"/>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0" distB="0" distL="114300" distR="114300">
            <wp:extent cx="628650" cy="21907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628650" cy="219075"/>
                    </a:xfrm>
                    <a:prstGeom prst="rect">
                      <a:avLst/>
                    </a:prstGeom>
                    <a:ln/>
                  </pic:spPr>
                </pic:pic>
              </a:graphicData>
            </a:graphic>
          </wp:inline>
        </w:drawing>
      </w:r>
      <w:r>
        <w:rPr>
          <w:noProof/>
        </w:rPr>
        <w:drawing>
          <wp:inline distT="0" distB="0" distL="114300" distR="114300">
            <wp:extent cx="628650" cy="219075"/>
            <wp:effectExtent l="0" t="0" r="0" b="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628650" cy="219075"/>
                    </a:xfrm>
                    <a:prstGeom prst="rect">
                      <a:avLst/>
                    </a:prstGeom>
                    <a:ln/>
                  </pic:spPr>
                </pic:pic>
              </a:graphicData>
            </a:graphic>
          </wp:inline>
        </w:drawing>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Далее на основе </w:t>
      </w:r>
      <w:proofErr w:type="spellStart"/>
      <w:r>
        <w:rPr>
          <w:rFonts w:ascii="Times New Roman" w:eastAsia="Times New Roman" w:hAnsi="Times New Roman" w:cs="Times New Roman"/>
          <w:sz w:val="24"/>
          <w:szCs w:val="24"/>
        </w:rPr>
        <w:t>пронормированных</w:t>
      </w:r>
      <w:proofErr w:type="spellEnd"/>
      <w:r>
        <w:rPr>
          <w:rFonts w:ascii="Times New Roman" w:eastAsia="Times New Roman" w:hAnsi="Times New Roman" w:cs="Times New Roman"/>
          <w:sz w:val="24"/>
          <w:szCs w:val="24"/>
        </w:rPr>
        <w:t xml:space="preserve"> показателей были рассчитаны </w:t>
      </w:r>
      <w:proofErr w:type="spellStart"/>
      <w:r>
        <w:rPr>
          <w:rFonts w:ascii="Times New Roman" w:eastAsia="Times New Roman" w:hAnsi="Times New Roman" w:cs="Times New Roman"/>
          <w:sz w:val="24"/>
          <w:szCs w:val="24"/>
        </w:rPr>
        <w:t>микроиндексы</w:t>
      </w:r>
      <w:proofErr w:type="spellEnd"/>
      <w:r>
        <w:rPr>
          <w:rFonts w:ascii="Times New Roman" w:eastAsia="Times New Roman" w:hAnsi="Times New Roman" w:cs="Times New Roman"/>
          <w:sz w:val="24"/>
          <w:szCs w:val="24"/>
        </w:rPr>
        <w:t>, характеризующие потребительский, финансовый и ресурсно-трудовой потенциалы каждого региона</w:t>
      </w:r>
      <w:r>
        <w:rPr>
          <w:rFonts w:ascii="Times New Roman" w:eastAsia="Times New Roman" w:hAnsi="Times New Roman" w:cs="Times New Roman"/>
          <w:sz w:val="24"/>
          <w:szCs w:val="24"/>
        </w:rPr>
        <w:t xml:space="preserve">. Указанные </w:t>
      </w:r>
      <w:proofErr w:type="spellStart"/>
      <w:r>
        <w:rPr>
          <w:rFonts w:ascii="Times New Roman" w:eastAsia="Times New Roman" w:hAnsi="Times New Roman" w:cs="Times New Roman"/>
          <w:sz w:val="24"/>
          <w:szCs w:val="24"/>
        </w:rPr>
        <w:t>микроиндексы</w:t>
      </w:r>
      <w:proofErr w:type="spellEnd"/>
      <w:r>
        <w:rPr>
          <w:rFonts w:ascii="Times New Roman" w:eastAsia="Times New Roman" w:hAnsi="Times New Roman" w:cs="Times New Roman"/>
          <w:sz w:val="24"/>
          <w:szCs w:val="24"/>
        </w:rPr>
        <w:t xml:space="preserve"> с использованием метода среднего арифметического были сведены в итоговый индекс, характеризующий в целом инвестиционный потенциал регионов. </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значение всех частных потенциалов для общего инвестиционного потенциала регионов</w:t>
      </w:r>
      <w:r>
        <w:rPr>
          <w:rFonts w:ascii="Times New Roman" w:eastAsia="Times New Roman" w:hAnsi="Times New Roman" w:cs="Times New Roman"/>
          <w:sz w:val="24"/>
          <w:szCs w:val="24"/>
        </w:rPr>
        <w:t xml:space="preserve"> является одинаковым, весовые коэффициенты значимости для них не вводились.</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Значение полученных данных </w:t>
      </w:r>
      <w:proofErr w:type="spellStart"/>
      <w:r>
        <w:rPr>
          <w:rFonts w:ascii="Times New Roman" w:eastAsia="Times New Roman" w:hAnsi="Times New Roman" w:cs="Times New Roman"/>
          <w:sz w:val="24"/>
          <w:szCs w:val="24"/>
        </w:rPr>
        <w:t>микроиндекса</w:t>
      </w:r>
      <w:proofErr w:type="spellEnd"/>
      <w:r>
        <w:rPr>
          <w:rFonts w:ascii="Times New Roman" w:eastAsia="Times New Roman" w:hAnsi="Times New Roman" w:cs="Times New Roman"/>
          <w:sz w:val="24"/>
          <w:szCs w:val="24"/>
        </w:rPr>
        <w:t xml:space="preserve"> потребительского потенциала областей находится в пределах от 0,6720 до 0,9740, его минимальное значение принадлежит Минской области. При этом максимальные данные зафиксированы по городу Минску, что свидетельствует о </w:t>
      </w:r>
      <w:r>
        <w:rPr>
          <w:rFonts w:ascii="Times New Roman" w:eastAsia="Times New Roman" w:hAnsi="Times New Roman" w:cs="Times New Roman"/>
          <w:sz w:val="24"/>
          <w:szCs w:val="24"/>
        </w:rPr>
        <w:t xml:space="preserve">высокой покупательной способности населения региона. </w:t>
      </w:r>
      <w:proofErr w:type="gramStart"/>
      <w:r>
        <w:rPr>
          <w:rFonts w:ascii="Times New Roman" w:eastAsia="Times New Roman" w:hAnsi="Times New Roman" w:cs="Times New Roman"/>
          <w:sz w:val="24"/>
          <w:szCs w:val="24"/>
        </w:rPr>
        <w:t xml:space="preserve">Для более наглядного отображения региональные </w:t>
      </w:r>
      <w:proofErr w:type="spellStart"/>
      <w:r>
        <w:rPr>
          <w:rFonts w:ascii="Times New Roman" w:eastAsia="Times New Roman" w:hAnsi="Times New Roman" w:cs="Times New Roman"/>
          <w:sz w:val="24"/>
          <w:szCs w:val="24"/>
        </w:rPr>
        <w:t>микроиндексы</w:t>
      </w:r>
      <w:proofErr w:type="spellEnd"/>
      <w:r>
        <w:rPr>
          <w:rFonts w:ascii="Times New Roman" w:eastAsia="Times New Roman" w:hAnsi="Times New Roman" w:cs="Times New Roman"/>
          <w:sz w:val="24"/>
          <w:szCs w:val="24"/>
        </w:rPr>
        <w:t xml:space="preserve">, характеризующие потребительский потенциал представлены в таблице 1. </w:t>
      </w:r>
      <w:proofErr w:type="gramEnd"/>
    </w:p>
    <w:p w:rsidR="00D7613F" w:rsidRDefault="00FE2B5D">
      <w:pPr>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Микроиндекс</w:t>
      </w:r>
      <w:proofErr w:type="spellEnd"/>
      <w:r>
        <w:rPr>
          <w:rFonts w:ascii="Times New Roman" w:eastAsia="Times New Roman" w:hAnsi="Times New Roman" w:cs="Times New Roman"/>
          <w:sz w:val="24"/>
          <w:szCs w:val="24"/>
        </w:rPr>
        <w:t xml:space="preserve"> финансового потенциала характеризуется широким разбросом значе</w:t>
      </w:r>
      <w:r>
        <w:rPr>
          <w:rFonts w:ascii="Times New Roman" w:eastAsia="Times New Roman" w:hAnsi="Times New Roman" w:cs="Times New Roman"/>
          <w:sz w:val="24"/>
          <w:szCs w:val="24"/>
        </w:rPr>
        <w:t xml:space="preserve">ний: минимальное значение 0,1891 характерно для Могилевской области, максимальное 0,3591 принадлежит городу Минску. Значения данного </w:t>
      </w:r>
      <w:proofErr w:type="spellStart"/>
      <w:r>
        <w:rPr>
          <w:rFonts w:ascii="Times New Roman" w:eastAsia="Times New Roman" w:hAnsi="Times New Roman" w:cs="Times New Roman"/>
          <w:sz w:val="24"/>
          <w:szCs w:val="24"/>
        </w:rPr>
        <w:t>микроиндекса</w:t>
      </w:r>
      <w:proofErr w:type="spellEnd"/>
      <w:r>
        <w:rPr>
          <w:rFonts w:ascii="Times New Roman" w:eastAsia="Times New Roman" w:hAnsi="Times New Roman" w:cs="Times New Roman"/>
          <w:sz w:val="24"/>
          <w:szCs w:val="24"/>
        </w:rPr>
        <w:t xml:space="preserve"> по рассматриваемым областям и городу Минску означает убыточность предприятий и нерентабельность продаж, что от</w:t>
      </w:r>
      <w:r>
        <w:rPr>
          <w:rFonts w:ascii="Times New Roman" w:eastAsia="Times New Roman" w:hAnsi="Times New Roman" w:cs="Times New Roman"/>
          <w:sz w:val="24"/>
          <w:szCs w:val="24"/>
        </w:rPr>
        <w:t xml:space="preserve">ражает достаточно низкий совокупный результат хозяйственной деятельности в регионах. </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полученных данных </w:t>
      </w:r>
      <w:proofErr w:type="spellStart"/>
      <w:r>
        <w:rPr>
          <w:rFonts w:ascii="Times New Roman" w:eastAsia="Times New Roman" w:hAnsi="Times New Roman" w:cs="Times New Roman"/>
          <w:sz w:val="24"/>
          <w:szCs w:val="24"/>
        </w:rPr>
        <w:t>микроиндекса</w:t>
      </w:r>
      <w:proofErr w:type="spellEnd"/>
      <w:r>
        <w:rPr>
          <w:rFonts w:ascii="Times New Roman" w:eastAsia="Times New Roman" w:hAnsi="Times New Roman" w:cs="Times New Roman"/>
          <w:sz w:val="24"/>
          <w:szCs w:val="24"/>
        </w:rPr>
        <w:t xml:space="preserve"> ресурсно-трудового потенциала выявил тройку лидеров за рассматриваемый период, к которым относятся Минска область со значением 0,538</w:t>
      </w:r>
      <w:r>
        <w:rPr>
          <w:rFonts w:ascii="Times New Roman" w:eastAsia="Times New Roman" w:hAnsi="Times New Roman" w:cs="Times New Roman"/>
          <w:sz w:val="24"/>
          <w:szCs w:val="24"/>
        </w:rPr>
        <w:t xml:space="preserve">2, Брестская область –0,4379 и город Минск – 0,3921. </w:t>
      </w:r>
      <w:proofErr w:type="gramStart"/>
      <w:r>
        <w:rPr>
          <w:rFonts w:ascii="Times New Roman" w:eastAsia="Times New Roman" w:hAnsi="Times New Roman" w:cs="Times New Roman"/>
          <w:sz w:val="24"/>
          <w:szCs w:val="24"/>
        </w:rPr>
        <w:t xml:space="preserve">Минимальный </w:t>
      </w:r>
      <w:proofErr w:type="spellStart"/>
      <w:r>
        <w:rPr>
          <w:rFonts w:ascii="Times New Roman" w:eastAsia="Times New Roman" w:hAnsi="Times New Roman" w:cs="Times New Roman"/>
          <w:sz w:val="24"/>
          <w:szCs w:val="24"/>
        </w:rPr>
        <w:t>микроиндекс</w:t>
      </w:r>
      <w:proofErr w:type="spellEnd"/>
      <w:r>
        <w:rPr>
          <w:rFonts w:ascii="Times New Roman" w:eastAsia="Times New Roman" w:hAnsi="Times New Roman" w:cs="Times New Roman"/>
          <w:sz w:val="24"/>
          <w:szCs w:val="24"/>
        </w:rPr>
        <w:t xml:space="preserve"> по рассматриваемому потенциалу принадлежит Могилевской области со значением 0,2625, что означает низкие темпы роста инвестиций в основной капитал и выпуска промышленной продукции.</w:t>
      </w:r>
      <w:r>
        <w:rPr>
          <w:rFonts w:ascii="Times New Roman" w:eastAsia="Times New Roman" w:hAnsi="Times New Roman" w:cs="Times New Roman"/>
          <w:sz w:val="24"/>
          <w:szCs w:val="24"/>
        </w:rPr>
        <w:t xml:space="preserve"> </w:t>
      </w:r>
      <w:proofErr w:type="gramEnd"/>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того, как рассчитаны и проанализированы все частные потенциалы, рассчитаны </w:t>
      </w:r>
      <w:proofErr w:type="spellStart"/>
      <w:r>
        <w:rPr>
          <w:rFonts w:ascii="Times New Roman" w:eastAsia="Times New Roman" w:hAnsi="Times New Roman" w:cs="Times New Roman"/>
          <w:sz w:val="24"/>
          <w:szCs w:val="24"/>
        </w:rPr>
        <w:t>микроиндексы</w:t>
      </w:r>
      <w:proofErr w:type="spellEnd"/>
      <w:r>
        <w:rPr>
          <w:rFonts w:ascii="Times New Roman" w:eastAsia="Times New Roman" w:hAnsi="Times New Roman" w:cs="Times New Roman"/>
          <w:sz w:val="24"/>
          <w:szCs w:val="24"/>
        </w:rPr>
        <w:t>, отражающие уровень развития каждого потенциала, находится общий инвестиционный потенциал каждого из исследуемых регионов и проводится ранжирование областей Рес</w:t>
      </w:r>
      <w:r>
        <w:rPr>
          <w:rFonts w:ascii="Times New Roman" w:eastAsia="Times New Roman" w:hAnsi="Times New Roman" w:cs="Times New Roman"/>
          <w:sz w:val="24"/>
          <w:szCs w:val="24"/>
        </w:rPr>
        <w:t>публики Беларусь по уровню инвестиционного развития (таблица 1). Агрегирование и ранжирование частных инвестиционных потенциалов методом среднего арифметического позволило оценить инвестиционный потенциал каждой области и города Минска в Республике Беларус</w:t>
      </w:r>
      <w:r>
        <w:rPr>
          <w:rFonts w:ascii="Times New Roman" w:eastAsia="Times New Roman" w:hAnsi="Times New Roman" w:cs="Times New Roman"/>
          <w:sz w:val="24"/>
          <w:szCs w:val="24"/>
        </w:rPr>
        <w:t xml:space="preserve">ь. </w:t>
      </w:r>
    </w:p>
    <w:p w:rsidR="00D7613F" w:rsidRDefault="00FE2B5D">
      <w:pPr>
        <w:spacing w:line="360" w:lineRule="auto"/>
        <w:ind w:firstLine="708"/>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Таблица 1 </w:t>
      </w:r>
    </w:p>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общего инвестиционного потенциала регионов и ранжирование областей и г. Минска по рассмотренным индексам</w:t>
      </w:r>
    </w:p>
    <w:tbl>
      <w:tblPr>
        <w:tblStyle w:val="a5"/>
        <w:tblW w:w="9853" w:type="dxa"/>
        <w:jc w:val="center"/>
        <w:tblInd w:w="0" w:type="dxa"/>
        <w:tblLayout w:type="fixed"/>
        <w:tblLook w:val="0000" w:firstRow="0" w:lastRow="0" w:firstColumn="0" w:lastColumn="0" w:noHBand="0" w:noVBand="0"/>
      </w:tblPr>
      <w:tblGrid>
        <w:gridCol w:w="1665"/>
        <w:gridCol w:w="1669"/>
        <w:gridCol w:w="683"/>
        <w:gridCol w:w="1201"/>
        <w:gridCol w:w="683"/>
        <w:gridCol w:w="1171"/>
        <w:gridCol w:w="683"/>
        <w:gridCol w:w="1415"/>
        <w:gridCol w:w="683"/>
      </w:tblGrid>
      <w:tr w:rsidR="00D7613F">
        <w:trPr>
          <w:trHeight w:val="300"/>
          <w:jc w:val="center"/>
        </w:trPr>
        <w:tc>
          <w:tcPr>
            <w:tcW w:w="1666" w:type="dxa"/>
            <w:vMerge w:val="restart"/>
            <w:tcBorders>
              <w:top w:val="single" w:sz="4" w:space="0" w:color="000000"/>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w:t>
            </w:r>
          </w:p>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города</w:t>
            </w:r>
          </w:p>
        </w:tc>
        <w:tc>
          <w:tcPr>
            <w:tcW w:w="6090" w:type="dxa"/>
            <w:gridSpan w:val="6"/>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Частные потенциалы</w:t>
            </w:r>
          </w:p>
        </w:tc>
        <w:tc>
          <w:tcPr>
            <w:tcW w:w="1415" w:type="dxa"/>
            <w:vMerge w:val="restart"/>
            <w:tcBorders>
              <w:top w:val="single" w:sz="4" w:space="0" w:color="000000"/>
              <w:left w:val="single" w:sz="4" w:space="0" w:color="000000"/>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Инвести-ционный</w:t>
            </w:r>
            <w:proofErr w:type="spellEnd"/>
            <w:proofErr w:type="gramEnd"/>
            <w:r>
              <w:rPr>
                <w:rFonts w:ascii="Times New Roman" w:eastAsia="Times New Roman" w:hAnsi="Times New Roman" w:cs="Times New Roman"/>
                <w:sz w:val="24"/>
                <w:szCs w:val="24"/>
              </w:rPr>
              <w:t xml:space="preserve"> потенциал</w:t>
            </w:r>
          </w:p>
        </w:tc>
        <w:tc>
          <w:tcPr>
            <w:tcW w:w="683" w:type="dxa"/>
            <w:vMerge w:val="restart"/>
            <w:tcBorders>
              <w:top w:val="single" w:sz="4" w:space="0" w:color="000000"/>
              <w:left w:val="single" w:sz="4" w:space="0" w:color="000000"/>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Ранг</w:t>
            </w:r>
          </w:p>
        </w:tc>
      </w:tr>
      <w:tr w:rsidR="00D7613F">
        <w:trPr>
          <w:trHeight w:val="600"/>
          <w:jc w:val="center"/>
        </w:trPr>
        <w:tc>
          <w:tcPr>
            <w:tcW w:w="1666" w:type="dxa"/>
            <w:vMerge/>
            <w:tcBorders>
              <w:top w:val="single" w:sz="4" w:space="0" w:color="000000"/>
              <w:left w:val="single" w:sz="4" w:space="0" w:color="000000"/>
              <w:bottom w:val="single" w:sz="4" w:space="0" w:color="000000"/>
              <w:right w:val="single" w:sz="4" w:space="0" w:color="000000"/>
            </w:tcBorders>
            <w:vAlign w:val="center"/>
          </w:tcPr>
          <w:p w:rsidR="00D7613F" w:rsidRDefault="00D7613F">
            <w:pPr>
              <w:jc w:val="both"/>
              <w:rPr>
                <w:rFonts w:ascii="Times New Roman" w:eastAsia="Times New Roman" w:hAnsi="Times New Roman" w:cs="Times New Roman"/>
                <w:sz w:val="24"/>
                <w:szCs w:val="24"/>
              </w:rPr>
            </w:pPr>
          </w:p>
        </w:tc>
        <w:tc>
          <w:tcPr>
            <w:tcW w:w="1669"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Ресурсно-трудовой</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Ранг</w:t>
            </w:r>
          </w:p>
        </w:tc>
        <w:tc>
          <w:tcPr>
            <w:tcW w:w="120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Потреби-</w:t>
            </w:r>
          </w:p>
          <w:p w:rsidR="00D7613F" w:rsidRDefault="00FE2B5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тельский</w:t>
            </w:r>
            <w:proofErr w:type="spellEnd"/>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Ранг</w:t>
            </w:r>
          </w:p>
        </w:tc>
        <w:tc>
          <w:tcPr>
            <w:tcW w:w="117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Финан-совый</w:t>
            </w:r>
            <w:proofErr w:type="spellEnd"/>
            <w:proofErr w:type="gramEnd"/>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Ранг</w:t>
            </w:r>
          </w:p>
        </w:tc>
        <w:tc>
          <w:tcPr>
            <w:tcW w:w="1415" w:type="dxa"/>
            <w:vMerge/>
            <w:tcBorders>
              <w:top w:val="single" w:sz="4" w:space="0" w:color="000000"/>
              <w:left w:val="single" w:sz="4" w:space="0" w:color="000000"/>
              <w:bottom w:val="single" w:sz="4" w:space="0" w:color="000000"/>
              <w:right w:val="single" w:sz="4" w:space="0" w:color="000000"/>
            </w:tcBorders>
            <w:vAlign w:val="center"/>
          </w:tcPr>
          <w:p w:rsidR="00D7613F" w:rsidRDefault="00D7613F">
            <w:pPr>
              <w:spacing w:line="276" w:lineRule="auto"/>
              <w:rPr>
                <w:rFonts w:ascii="Times New Roman" w:eastAsia="Times New Roman" w:hAnsi="Times New Roman" w:cs="Times New Roman"/>
                <w:sz w:val="24"/>
                <w:szCs w:val="24"/>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D7613F" w:rsidRDefault="00D7613F">
            <w:pPr>
              <w:jc w:val="center"/>
              <w:rPr>
                <w:rFonts w:ascii="Times New Roman" w:eastAsia="Times New Roman" w:hAnsi="Times New Roman" w:cs="Times New Roman"/>
                <w:sz w:val="24"/>
                <w:szCs w:val="24"/>
              </w:rPr>
            </w:pPr>
          </w:p>
          <w:p w:rsidR="00D7613F" w:rsidRDefault="00D7613F">
            <w:pPr>
              <w:jc w:val="center"/>
              <w:rPr>
                <w:rFonts w:ascii="Times New Roman" w:eastAsia="Times New Roman" w:hAnsi="Times New Roman" w:cs="Times New Roman"/>
                <w:sz w:val="24"/>
                <w:szCs w:val="24"/>
              </w:rPr>
            </w:pPr>
          </w:p>
        </w:tc>
      </w:tr>
      <w:tr w:rsidR="00D7613F">
        <w:trPr>
          <w:trHeight w:val="460"/>
          <w:jc w:val="center"/>
        </w:trPr>
        <w:tc>
          <w:tcPr>
            <w:tcW w:w="1666" w:type="dxa"/>
            <w:tcBorders>
              <w:top w:val="nil"/>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Минская область</w:t>
            </w:r>
          </w:p>
        </w:tc>
        <w:tc>
          <w:tcPr>
            <w:tcW w:w="1669"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0,5382</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0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0,6720</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7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0,2275</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5"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0,4792</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613F">
        <w:trPr>
          <w:trHeight w:val="300"/>
          <w:jc w:val="center"/>
        </w:trPr>
        <w:tc>
          <w:tcPr>
            <w:tcW w:w="1666" w:type="dxa"/>
            <w:tcBorders>
              <w:top w:val="nil"/>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Минск</w:t>
            </w:r>
          </w:p>
        </w:tc>
        <w:tc>
          <w:tcPr>
            <w:tcW w:w="1669"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0,3921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0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0,9740</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0,3591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5"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0,5751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7613F">
        <w:trPr>
          <w:trHeight w:val="300"/>
          <w:jc w:val="center"/>
        </w:trPr>
        <w:tc>
          <w:tcPr>
            <w:tcW w:w="1666" w:type="dxa"/>
            <w:tcBorders>
              <w:top w:val="single" w:sz="4" w:space="0" w:color="000000"/>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Могилевская область</w:t>
            </w:r>
          </w:p>
        </w:tc>
        <w:tc>
          <w:tcPr>
            <w:tcW w:w="1669"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0,2625</w:t>
            </w:r>
          </w:p>
        </w:tc>
        <w:tc>
          <w:tcPr>
            <w:tcW w:w="683"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01"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0,8529</w:t>
            </w:r>
          </w:p>
        </w:tc>
        <w:tc>
          <w:tcPr>
            <w:tcW w:w="683"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1"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0,1891</w:t>
            </w:r>
          </w:p>
        </w:tc>
        <w:tc>
          <w:tcPr>
            <w:tcW w:w="683"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5"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0,4348</w:t>
            </w:r>
          </w:p>
        </w:tc>
        <w:tc>
          <w:tcPr>
            <w:tcW w:w="683" w:type="dxa"/>
            <w:tcBorders>
              <w:top w:val="single" w:sz="4" w:space="0" w:color="000000"/>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7613F">
        <w:trPr>
          <w:trHeight w:val="300"/>
          <w:jc w:val="center"/>
        </w:trPr>
        <w:tc>
          <w:tcPr>
            <w:tcW w:w="1666" w:type="dxa"/>
            <w:tcBorders>
              <w:top w:val="nil"/>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Гомельская область</w:t>
            </w:r>
          </w:p>
        </w:tc>
        <w:tc>
          <w:tcPr>
            <w:tcW w:w="1669"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0,3204</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0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0,8708</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0,2131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5"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0,4681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7613F">
        <w:trPr>
          <w:trHeight w:val="300"/>
          <w:jc w:val="center"/>
        </w:trPr>
        <w:tc>
          <w:tcPr>
            <w:tcW w:w="1666" w:type="dxa"/>
            <w:tcBorders>
              <w:top w:val="nil"/>
              <w:left w:val="single" w:sz="4" w:space="0" w:color="000000"/>
              <w:bottom w:val="single" w:sz="4" w:space="0" w:color="000000"/>
              <w:right w:val="single" w:sz="4" w:space="0" w:color="000000"/>
            </w:tcBorders>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Гродненская </w:t>
            </w:r>
            <w:r>
              <w:rPr>
                <w:rFonts w:ascii="Times New Roman" w:eastAsia="Times New Roman" w:hAnsi="Times New Roman" w:cs="Times New Roman"/>
                <w:sz w:val="24"/>
                <w:szCs w:val="24"/>
              </w:rPr>
              <w:lastRenderedPageBreak/>
              <w:t>область</w:t>
            </w:r>
          </w:p>
        </w:tc>
        <w:tc>
          <w:tcPr>
            <w:tcW w:w="1669"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0,3607</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0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0,8123</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71"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0,2703</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5"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0,4811</w:t>
            </w:r>
          </w:p>
        </w:tc>
        <w:tc>
          <w:tcPr>
            <w:tcW w:w="683" w:type="dxa"/>
            <w:tcBorders>
              <w:top w:val="nil"/>
              <w:left w:val="nil"/>
              <w:bottom w:val="single" w:sz="4" w:space="0" w:color="000000"/>
              <w:right w:val="single" w:sz="4" w:space="0" w:color="000000"/>
            </w:tcBorders>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7613F">
        <w:trPr>
          <w:trHeight w:val="300"/>
          <w:jc w:val="center"/>
        </w:trPr>
        <w:tc>
          <w:tcPr>
            <w:tcW w:w="1666" w:type="dxa"/>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Витебская область</w:t>
            </w:r>
          </w:p>
        </w:tc>
        <w:tc>
          <w:tcPr>
            <w:tcW w:w="1669"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0,3199</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01"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0,8871</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1"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0,2849</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5"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0,4973</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613F">
        <w:trPr>
          <w:trHeight w:val="300"/>
          <w:jc w:val="center"/>
        </w:trPr>
        <w:tc>
          <w:tcPr>
            <w:tcW w:w="1666" w:type="dxa"/>
            <w:vAlign w:val="center"/>
          </w:tcPr>
          <w:p w:rsidR="00D7613F" w:rsidRDefault="00FE2B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Брестская область</w:t>
            </w:r>
          </w:p>
        </w:tc>
        <w:tc>
          <w:tcPr>
            <w:tcW w:w="1669"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0,4379</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01"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0,8831</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1"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0,2678</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5"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0,5296</w:t>
            </w:r>
          </w:p>
        </w:tc>
        <w:tc>
          <w:tcPr>
            <w:tcW w:w="683" w:type="dxa"/>
            <w:vAlign w:val="center"/>
          </w:tcPr>
          <w:p w:rsidR="00D7613F" w:rsidRDefault="00FE2B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D7613F" w:rsidRDefault="00FE2B5D">
      <w:pP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Примечание – Источник: собственная разработка на основе [2, 3].</w:t>
      </w:r>
    </w:p>
    <w:p w:rsidR="00D7613F" w:rsidRDefault="00D7613F">
      <w:pPr>
        <w:spacing w:line="360" w:lineRule="auto"/>
        <w:ind w:firstLine="709"/>
        <w:jc w:val="center"/>
        <w:rPr>
          <w:rFonts w:ascii="Times New Roman" w:eastAsia="Times New Roman" w:hAnsi="Times New Roman" w:cs="Times New Roman"/>
        </w:rPr>
      </w:pP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Произведенные расчеты показали, что территориальное размещение ресурсов для привлечения иностранных инвестиций характеризуется четко выраженной концентрацией в городе Минске, который занял лидирующее положение со значением 0,5751. Это отражает способность </w:t>
      </w:r>
      <w:r>
        <w:rPr>
          <w:rFonts w:ascii="Times New Roman" w:eastAsia="Times New Roman" w:hAnsi="Times New Roman" w:cs="Times New Roman"/>
          <w:sz w:val="24"/>
          <w:szCs w:val="24"/>
        </w:rPr>
        <w:t xml:space="preserve">всех имеющихся в распоряжении региона экономических ресурсов (как собственных, так и привлеченных извне) обеспечивать поддержание на должном уровне благоприятного инвестиционного климата и реализацию инвестиционной </w:t>
      </w:r>
      <w:proofErr w:type="gramStart"/>
      <w:r>
        <w:rPr>
          <w:rFonts w:ascii="Times New Roman" w:eastAsia="Times New Roman" w:hAnsi="Times New Roman" w:cs="Times New Roman"/>
          <w:sz w:val="24"/>
          <w:szCs w:val="24"/>
        </w:rPr>
        <w:t>деятельности</w:t>
      </w:r>
      <w:proofErr w:type="gramEnd"/>
      <w:r>
        <w:rPr>
          <w:rFonts w:ascii="Times New Roman" w:eastAsia="Times New Roman" w:hAnsi="Times New Roman" w:cs="Times New Roman"/>
          <w:sz w:val="24"/>
          <w:szCs w:val="24"/>
        </w:rPr>
        <w:t xml:space="preserve"> исходя из социально-экономич</w:t>
      </w:r>
      <w:r>
        <w:rPr>
          <w:rFonts w:ascii="Times New Roman" w:eastAsia="Times New Roman" w:hAnsi="Times New Roman" w:cs="Times New Roman"/>
          <w:sz w:val="24"/>
          <w:szCs w:val="24"/>
        </w:rPr>
        <w:t>еской политики региона. Брестская область заняла второе место по инвестиционному потенциалу со значением 0,5296. На третьем месте находится Витебская область со значением индекса инвестиционного потенциала 0,4973. Данные регионы обладают всеми предпосылкам</w:t>
      </w:r>
      <w:r>
        <w:rPr>
          <w:rFonts w:ascii="Times New Roman" w:eastAsia="Times New Roman" w:hAnsi="Times New Roman" w:cs="Times New Roman"/>
          <w:sz w:val="24"/>
          <w:szCs w:val="24"/>
        </w:rPr>
        <w:t>и для экономического роста и должны образовать «каркас» новой территориальной структуры хозяйства страны. Четвертое место по индексу инвестиционного потенциала занимает Гродненская область (0,4811). Минская область заняла пятое место со значением 0,4792. Г</w:t>
      </w:r>
      <w:r>
        <w:rPr>
          <w:rFonts w:ascii="Times New Roman" w:eastAsia="Times New Roman" w:hAnsi="Times New Roman" w:cs="Times New Roman"/>
          <w:sz w:val="24"/>
          <w:szCs w:val="24"/>
        </w:rPr>
        <w:t>омельская область в свою очередь разместилась на шестом месте, ее инвестиционный потенциал составил 0,4681. Что касается Могилевской области, то регион оказался на последнем месте со значением индекса инвестиционного потенциала, равным 0,4348. Такое положе</w:t>
      </w:r>
      <w:r>
        <w:rPr>
          <w:rFonts w:ascii="Times New Roman" w:eastAsia="Times New Roman" w:hAnsi="Times New Roman" w:cs="Times New Roman"/>
          <w:sz w:val="24"/>
          <w:szCs w:val="24"/>
        </w:rPr>
        <w:t xml:space="preserve">ние региона свидетельствует о его неспособности обеспечивать удовлетворение потребностей в инвестиционных ресурсах без привлечения заемных средств исходя из имеющихся в наличии факторов производства. </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государственным органам необходимо сконц</w:t>
      </w:r>
      <w:r>
        <w:rPr>
          <w:rFonts w:ascii="Times New Roman" w:eastAsia="Times New Roman" w:hAnsi="Times New Roman" w:cs="Times New Roman"/>
          <w:sz w:val="24"/>
          <w:szCs w:val="24"/>
        </w:rPr>
        <w:t xml:space="preserve">ентрировать усилия на развитии институционального, законодательно-нормативного, обеспечения и мобилизации всех региональных ресурсов для обеспечения экономического роста и повышения жизненного уровня населения в этих регионах, тем самым укрепить потенциал </w:t>
      </w:r>
      <w:r>
        <w:rPr>
          <w:rFonts w:ascii="Times New Roman" w:eastAsia="Times New Roman" w:hAnsi="Times New Roman" w:cs="Times New Roman"/>
          <w:sz w:val="24"/>
          <w:szCs w:val="24"/>
        </w:rPr>
        <w:t xml:space="preserve">отстающих регионов с целью устранения региональных диспропорций и обеспечения сбалансированного развития территорий всей страны. Результаты анализа дают возможность определять степень, диапазон и характер воздействия управления на инвестиционный потенциал </w:t>
      </w:r>
      <w:r>
        <w:rPr>
          <w:rFonts w:ascii="Times New Roman" w:eastAsia="Times New Roman" w:hAnsi="Times New Roman" w:cs="Times New Roman"/>
          <w:sz w:val="24"/>
          <w:szCs w:val="24"/>
        </w:rPr>
        <w:t xml:space="preserve">регионов, что оказывает влияние и на эффективность государственного управления инвестиционной сферой в стране в целом. </w:t>
      </w:r>
    </w:p>
    <w:p w:rsidR="00D7613F" w:rsidRDefault="00D7613F">
      <w:pPr>
        <w:ind w:firstLine="709"/>
        <w:jc w:val="center"/>
        <w:rPr>
          <w:rFonts w:ascii="Times New Roman" w:eastAsia="Times New Roman" w:hAnsi="Times New Roman" w:cs="Times New Roman"/>
          <w:sz w:val="24"/>
          <w:szCs w:val="24"/>
        </w:rPr>
      </w:pPr>
    </w:p>
    <w:p w:rsidR="00D7613F" w:rsidRDefault="00FE2B5D">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Библиографический список</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Ковалев, М.И. Как повысить позицию Республики Беларусь в международных рейтингах / М.И. Зайцев, А.А. Якубов</w:t>
      </w:r>
      <w:r>
        <w:rPr>
          <w:rFonts w:ascii="Times New Roman" w:eastAsia="Times New Roman" w:hAnsi="Times New Roman" w:cs="Times New Roman"/>
          <w:sz w:val="24"/>
          <w:szCs w:val="24"/>
        </w:rPr>
        <w:t xml:space="preserve">ич // Вестник ассоциации белорусских банков. – 2011. – №11-12. – С. 44-49 </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Регионы Республике Беларусь. Социально-экономические показатели: статистический сборник / </w:t>
      </w:r>
      <w:proofErr w:type="gramStart"/>
      <w:r>
        <w:rPr>
          <w:rFonts w:ascii="Times New Roman" w:eastAsia="Times New Roman" w:hAnsi="Times New Roman" w:cs="Times New Roman"/>
          <w:sz w:val="24"/>
          <w:szCs w:val="24"/>
        </w:rPr>
        <w:t>Ред</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колл</w:t>
      </w:r>
      <w:proofErr w:type="spellEnd"/>
      <w:r>
        <w:rPr>
          <w:rFonts w:ascii="Times New Roman" w:eastAsia="Times New Roman" w:hAnsi="Times New Roman" w:cs="Times New Roman"/>
          <w:sz w:val="24"/>
          <w:szCs w:val="24"/>
        </w:rPr>
        <w:t xml:space="preserve">.: И.В. Медведева, И.С. </w:t>
      </w:r>
      <w:proofErr w:type="spellStart"/>
      <w:r>
        <w:rPr>
          <w:rFonts w:ascii="Times New Roman" w:eastAsia="Times New Roman" w:hAnsi="Times New Roman" w:cs="Times New Roman"/>
          <w:sz w:val="24"/>
          <w:szCs w:val="24"/>
        </w:rPr>
        <w:t>Кангро</w:t>
      </w:r>
      <w:proofErr w:type="spellEnd"/>
      <w:r>
        <w:rPr>
          <w:rFonts w:ascii="Times New Roman" w:eastAsia="Times New Roman" w:hAnsi="Times New Roman" w:cs="Times New Roman"/>
          <w:sz w:val="24"/>
          <w:szCs w:val="24"/>
        </w:rPr>
        <w:t xml:space="preserve">, Ж.Н. Василевская, Е.И. </w:t>
      </w:r>
      <w:proofErr w:type="spellStart"/>
      <w:r>
        <w:rPr>
          <w:rFonts w:ascii="Times New Roman" w:eastAsia="Times New Roman" w:hAnsi="Times New Roman" w:cs="Times New Roman"/>
          <w:sz w:val="24"/>
          <w:szCs w:val="24"/>
        </w:rPr>
        <w:t>Кухаревич</w:t>
      </w:r>
      <w:proofErr w:type="spellEnd"/>
      <w:r>
        <w:rPr>
          <w:rFonts w:ascii="Times New Roman" w:eastAsia="Times New Roman" w:hAnsi="Times New Roman" w:cs="Times New Roman"/>
          <w:sz w:val="24"/>
          <w:szCs w:val="24"/>
        </w:rPr>
        <w:t xml:space="preserve"> и др.; под ред.</w:t>
      </w:r>
      <w:r>
        <w:rPr>
          <w:rFonts w:ascii="Times New Roman" w:eastAsia="Times New Roman" w:hAnsi="Times New Roman" w:cs="Times New Roman"/>
          <w:sz w:val="24"/>
          <w:szCs w:val="24"/>
        </w:rPr>
        <w:t xml:space="preserve"> И.В. Медведева. – Том 2. – Минск: Национальный статистический комитет Республики Беларусь, 2015. – 217 с.</w:t>
      </w:r>
    </w:p>
    <w:p w:rsidR="00D7613F" w:rsidRDefault="00FE2B5D">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Русак, И.Н. Оценка уровня конкурентоспособности регионов Республики Беларусь / И.Н. Русак /.– Минск: </w:t>
      </w:r>
      <w:proofErr w:type="spellStart"/>
      <w:r>
        <w:rPr>
          <w:rFonts w:ascii="Times New Roman" w:eastAsia="Times New Roman" w:hAnsi="Times New Roman" w:cs="Times New Roman"/>
          <w:sz w:val="24"/>
          <w:szCs w:val="24"/>
        </w:rPr>
        <w:t>Энциклопедикс</w:t>
      </w:r>
      <w:proofErr w:type="spellEnd"/>
      <w:r>
        <w:rPr>
          <w:rFonts w:ascii="Times New Roman" w:eastAsia="Times New Roman" w:hAnsi="Times New Roman" w:cs="Times New Roman"/>
          <w:sz w:val="24"/>
          <w:szCs w:val="24"/>
        </w:rPr>
        <w:t>, 2014 - 170 с.</w:t>
      </w:r>
    </w:p>
    <w:p w:rsidR="00D7613F" w:rsidRDefault="00D7613F">
      <w:pPr>
        <w:tabs>
          <w:tab w:val="left" w:pos="0"/>
        </w:tabs>
        <w:ind w:firstLine="709"/>
        <w:jc w:val="both"/>
        <w:rPr>
          <w:rFonts w:ascii="Times New Roman" w:eastAsia="Times New Roman" w:hAnsi="Times New Roman" w:cs="Times New Roman"/>
          <w:sz w:val="22"/>
          <w:szCs w:val="22"/>
        </w:rPr>
      </w:pPr>
    </w:p>
    <w:p w:rsidR="00D7613F" w:rsidRDefault="00FE2B5D">
      <w:pPr>
        <w:tabs>
          <w:tab w:val="left" w:pos="0"/>
        </w:tabs>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Информация об а</w:t>
      </w:r>
      <w:r>
        <w:rPr>
          <w:rFonts w:ascii="Times New Roman" w:eastAsia="Times New Roman" w:hAnsi="Times New Roman" w:cs="Times New Roman"/>
          <w:b/>
          <w:sz w:val="24"/>
          <w:szCs w:val="24"/>
        </w:rPr>
        <w:t>вторе</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ах) на русском языке</w:t>
      </w:r>
    </w:p>
    <w:p w:rsidR="00D7613F" w:rsidRDefault="00FE2B5D">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Русак Ирина Николаевна, Республика Беларусь,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инск</w:t>
      </w:r>
      <w:proofErr w:type="spellEnd"/>
      <w:r>
        <w:rPr>
          <w:rFonts w:ascii="Times New Roman" w:eastAsia="Times New Roman" w:hAnsi="Times New Roman" w:cs="Times New Roman"/>
          <w:sz w:val="24"/>
          <w:szCs w:val="24"/>
        </w:rPr>
        <w:t>, кандидат экономический наук, доцент кафедры национальной экономики и государственного управления Учреждения образования «Белорусский государственный экономический университе</w:t>
      </w:r>
      <w:r>
        <w:rPr>
          <w:rFonts w:ascii="Times New Roman" w:eastAsia="Times New Roman" w:hAnsi="Times New Roman" w:cs="Times New Roman"/>
          <w:sz w:val="24"/>
          <w:szCs w:val="24"/>
        </w:rPr>
        <w:t>т» 220070, г. Минск, пр. Партизанский 26, rusakin@mail.ru</w:t>
      </w:r>
    </w:p>
    <w:p w:rsidR="00D7613F" w:rsidRPr="00FE2B5D" w:rsidRDefault="00FE2B5D">
      <w:pPr>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Коваленко Алина Игоревна,  Республика Беларусь,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инск</w:t>
      </w:r>
      <w:proofErr w:type="spellEnd"/>
      <w:r>
        <w:rPr>
          <w:rFonts w:ascii="Times New Roman" w:eastAsia="Times New Roman" w:hAnsi="Times New Roman" w:cs="Times New Roman"/>
          <w:sz w:val="24"/>
          <w:szCs w:val="24"/>
        </w:rPr>
        <w:t xml:space="preserve">, выпускник кафедры </w:t>
      </w:r>
      <w:r>
        <w:rPr>
          <w:rFonts w:ascii="Times New Roman" w:eastAsia="Times New Roman" w:hAnsi="Times New Roman" w:cs="Times New Roman"/>
          <w:sz w:val="24"/>
          <w:szCs w:val="24"/>
        </w:rPr>
        <w:lastRenderedPageBreak/>
        <w:t>национальной экономики и государственного управления Учреждения образования «Белорусский государственный экономический унив</w:t>
      </w:r>
      <w:r>
        <w:rPr>
          <w:rFonts w:ascii="Times New Roman" w:eastAsia="Times New Roman" w:hAnsi="Times New Roman" w:cs="Times New Roman"/>
          <w:sz w:val="24"/>
          <w:szCs w:val="24"/>
        </w:rPr>
        <w:t>ерситет»,</w:t>
      </w:r>
      <w:r>
        <w:rPr>
          <w:sz w:val="24"/>
          <w:szCs w:val="24"/>
        </w:rPr>
        <w:t xml:space="preserve"> </w:t>
      </w:r>
      <w:r>
        <w:rPr>
          <w:rFonts w:ascii="Times New Roman" w:eastAsia="Times New Roman" w:hAnsi="Times New Roman" w:cs="Times New Roman"/>
          <w:sz w:val="24"/>
          <w:szCs w:val="24"/>
        </w:rPr>
        <w:t>220070, г. Минск, пр. Партизанский</w:t>
      </w:r>
      <w:r w:rsidRPr="00FE2B5D">
        <w:rPr>
          <w:rFonts w:ascii="Times New Roman" w:eastAsia="Times New Roman" w:hAnsi="Times New Roman" w:cs="Times New Roman"/>
          <w:sz w:val="24"/>
          <w:szCs w:val="24"/>
          <w:lang w:val="en-US"/>
        </w:rPr>
        <w:t xml:space="preserve"> 26, rusakin@mail.ru</w:t>
      </w:r>
    </w:p>
    <w:p w:rsidR="00D7613F" w:rsidRPr="00FE2B5D" w:rsidRDefault="00D7613F">
      <w:pPr>
        <w:ind w:left="709" w:firstLine="709"/>
        <w:jc w:val="both"/>
        <w:rPr>
          <w:rFonts w:ascii="Times New Roman" w:eastAsia="Times New Roman" w:hAnsi="Times New Roman" w:cs="Times New Roman"/>
          <w:sz w:val="22"/>
          <w:szCs w:val="22"/>
          <w:lang w:val="en-US"/>
        </w:rPr>
      </w:pPr>
    </w:p>
    <w:p w:rsidR="00D7613F" w:rsidRPr="00FE2B5D" w:rsidRDefault="00FE2B5D">
      <w:pPr>
        <w:jc w:val="right"/>
        <w:rPr>
          <w:rFonts w:ascii="Times New Roman" w:eastAsia="Times New Roman" w:hAnsi="Times New Roman" w:cs="Times New Roman"/>
          <w:sz w:val="28"/>
          <w:szCs w:val="28"/>
          <w:lang w:val="en-US"/>
        </w:rPr>
      </w:pPr>
      <w:r w:rsidRPr="00FE2B5D">
        <w:rPr>
          <w:rFonts w:ascii="Times New Roman" w:eastAsia="Times New Roman" w:hAnsi="Times New Roman" w:cs="Times New Roman"/>
          <w:b/>
          <w:i/>
          <w:sz w:val="28"/>
          <w:szCs w:val="28"/>
          <w:lang w:val="en-US"/>
        </w:rPr>
        <w:t>Rusak Iryna</w:t>
      </w:r>
    </w:p>
    <w:p w:rsidR="00D7613F" w:rsidRPr="00FE2B5D" w:rsidRDefault="00FE2B5D">
      <w:pPr>
        <w:jc w:val="right"/>
        <w:rPr>
          <w:rFonts w:ascii="Times New Roman" w:eastAsia="Times New Roman" w:hAnsi="Times New Roman" w:cs="Times New Roman"/>
          <w:sz w:val="28"/>
          <w:szCs w:val="28"/>
          <w:lang w:val="en-US"/>
        </w:rPr>
      </w:pPr>
      <w:r w:rsidRPr="00FE2B5D">
        <w:rPr>
          <w:rFonts w:ascii="Times New Roman" w:eastAsia="Times New Roman" w:hAnsi="Times New Roman" w:cs="Times New Roman"/>
          <w:b/>
          <w:i/>
          <w:sz w:val="28"/>
          <w:szCs w:val="28"/>
          <w:lang w:val="en-US"/>
        </w:rPr>
        <w:t>Kovalenko Alina</w:t>
      </w:r>
    </w:p>
    <w:p w:rsidR="00D7613F" w:rsidRPr="00FE2B5D" w:rsidRDefault="00FE2B5D">
      <w:pPr>
        <w:jc w:val="center"/>
        <w:rPr>
          <w:rFonts w:ascii="Times New Roman" w:eastAsia="Times New Roman" w:hAnsi="Times New Roman" w:cs="Times New Roman"/>
          <w:sz w:val="24"/>
          <w:szCs w:val="24"/>
          <w:lang w:val="en-US"/>
        </w:rPr>
      </w:pPr>
      <w:r w:rsidRPr="00FE2B5D">
        <w:rPr>
          <w:rFonts w:ascii="Times New Roman" w:eastAsia="Times New Roman" w:hAnsi="Times New Roman" w:cs="Times New Roman"/>
          <w:b/>
          <w:sz w:val="24"/>
          <w:szCs w:val="24"/>
          <w:lang w:val="en-US"/>
        </w:rPr>
        <w:t>EVALUATION OF INVESTMENT POTENTIAL OF REGIONS OF REPUBLIC OF BELARUS</w:t>
      </w:r>
    </w:p>
    <w:p w:rsidR="00D7613F" w:rsidRPr="00FE2B5D" w:rsidRDefault="00D7613F">
      <w:pPr>
        <w:jc w:val="center"/>
        <w:rPr>
          <w:rFonts w:ascii="Times New Roman" w:eastAsia="Times New Roman" w:hAnsi="Times New Roman" w:cs="Times New Roman"/>
          <w:sz w:val="24"/>
          <w:szCs w:val="24"/>
          <w:lang w:val="en-US"/>
        </w:rPr>
      </w:pP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b/>
          <w:i/>
          <w:sz w:val="24"/>
          <w:szCs w:val="24"/>
          <w:lang w:val="en-US"/>
        </w:rPr>
        <w:t>Summary:</w:t>
      </w:r>
      <w:r w:rsidRPr="00FE2B5D">
        <w:rPr>
          <w:rFonts w:ascii="Times New Roman" w:eastAsia="Times New Roman" w:hAnsi="Times New Roman" w:cs="Times New Roman"/>
          <w:i/>
          <w:sz w:val="24"/>
          <w:szCs w:val="24"/>
          <w:lang w:val="en-US"/>
        </w:rPr>
        <w:t xml:space="preserve"> in article questions of an assessment of investment potential at the level of the areas of Republic of Belarus are considered, calculation of the general investment potential of regions with use of an index method is carried out, an assessment of territor</w:t>
      </w:r>
      <w:r w:rsidRPr="00FE2B5D">
        <w:rPr>
          <w:rFonts w:ascii="Times New Roman" w:eastAsia="Times New Roman" w:hAnsi="Times New Roman" w:cs="Times New Roman"/>
          <w:i/>
          <w:sz w:val="24"/>
          <w:szCs w:val="24"/>
          <w:lang w:val="en-US"/>
        </w:rPr>
        <w:t xml:space="preserve">ial placement of resources for attraction of foreign investments at the regional level is given. </w:t>
      </w: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b/>
          <w:i/>
          <w:sz w:val="24"/>
          <w:szCs w:val="24"/>
          <w:lang w:val="en-US"/>
        </w:rPr>
        <w:t xml:space="preserve">Keywords: </w:t>
      </w:r>
      <w:r w:rsidRPr="00FE2B5D">
        <w:rPr>
          <w:rFonts w:ascii="Times New Roman" w:eastAsia="Times New Roman" w:hAnsi="Times New Roman" w:cs="Times New Roman"/>
          <w:i/>
          <w:sz w:val="24"/>
          <w:szCs w:val="24"/>
          <w:lang w:val="en-US"/>
        </w:rPr>
        <w:t>investment potential, investment position, territorial allocation, regions of Republic of Belarus</w:t>
      </w:r>
    </w:p>
    <w:p w:rsidR="00D7613F" w:rsidRPr="00FE2B5D" w:rsidRDefault="00D7613F">
      <w:pPr>
        <w:ind w:firstLine="709"/>
        <w:jc w:val="both"/>
        <w:rPr>
          <w:rFonts w:ascii="Times New Roman" w:eastAsia="Times New Roman" w:hAnsi="Times New Roman" w:cs="Times New Roman"/>
          <w:sz w:val="28"/>
          <w:szCs w:val="28"/>
          <w:lang w:val="en-US"/>
        </w:rPr>
      </w:pP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sz w:val="24"/>
          <w:szCs w:val="24"/>
          <w:lang w:val="en-US"/>
        </w:rPr>
        <w:t>Rusak Iryna, Minsk, Belarus, PhD in Economic scie</w:t>
      </w:r>
      <w:r w:rsidRPr="00FE2B5D">
        <w:rPr>
          <w:rFonts w:ascii="Times New Roman" w:eastAsia="Times New Roman" w:hAnsi="Times New Roman" w:cs="Times New Roman"/>
          <w:sz w:val="24"/>
          <w:szCs w:val="24"/>
          <w:lang w:val="en-US"/>
        </w:rPr>
        <w:t>nces. associate professor of the Department of national economy and state management, Belarus State Economic University, 220070, 26, Partizanski Av, Minsk, Republic of Belarus</w:t>
      </w: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sz w:val="24"/>
          <w:szCs w:val="24"/>
          <w:lang w:val="en-US"/>
        </w:rPr>
        <w:t xml:space="preserve">Kovalenko Alina, Minsk, Belarus, Graduate of the Department of national economy </w:t>
      </w:r>
      <w:r w:rsidRPr="00FE2B5D">
        <w:rPr>
          <w:rFonts w:ascii="Times New Roman" w:eastAsia="Times New Roman" w:hAnsi="Times New Roman" w:cs="Times New Roman"/>
          <w:sz w:val="24"/>
          <w:szCs w:val="24"/>
          <w:lang w:val="en-US"/>
        </w:rPr>
        <w:t>and state management, Belarus State Economic University, 220070, 26, Partizanski Av, Minsk, Republic of Belarus</w:t>
      </w:r>
    </w:p>
    <w:p w:rsidR="00D7613F" w:rsidRPr="00FE2B5D" w:rsidRDefault="00D7613F">
      <w:pPr>
        <w:ind w:left="709" w:firstLine="709"/>
        <w:jc w:val="both"/>
        <w:rPr>
          <w:rFonts w:ascii="Times New Roman" w:eastAsia="Times New Roman" w:hAnsi="Times New Roman" w:cs="Times New Roman"/>
          <w:sz w:val="22"/>
          <w:szCs w:val="22"/>
          <w:lang w:val="en-US"/>
        </w:rPr>
      </w:pPr>
    </w:p>
    <w:p w:rsidR="00D7613F" w:rsidRPr="00FE2B5D" w:rsidRDefault="00FE2B5D">
      <w:pPr>
        <w:ind w:firstLine="709"/>
        <w:jc w:val="center"/>
        <w:rPr>
          <w:rFonts w:ascii="Times New Roman" w:eastAsia="Times New Roman" w:hAnsi="Times New Roman" w:cs="Times New Roman"/>
          <w:sz w:val="24"/>
          <w:szCs w:val="24"/>
          <w:lang w:val="en-US"/>
        </w:rPr>
      </w:pPr>
      <w:r w:rsidRPr="00FE2B5D">
        <w:rPr>
          <w:rFonts w:ascii="Times New Roman" w:eastAsia="Times New Roman" w:hAnsi="Times New Roman" w:cs="Times New Roman"/>
          <w:b/>
          <w:sz w:val="24"/>
          <w:szCs w:val="24"/>
          <w:lang w:val="en-US"/>
        </w:rPr>
        <w:t>References</w:t>
      </w: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sz w:val="24"/>
          <w:szCs w:val="24"/>
          <w:lang w:val="en-US"/>
        </w:rPr>
        <w:t>1. Kovalev, M.I. How to improve the position of the Republic of Belarus in international ratings / M.I. Zaytsev, A.A. Yakubovich // Bulletin of the Association of Belarusian Banks. - 2011. - № 11-12. - PP. 44-49</w:t>
      </w: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sz w:val="24"/>
          <w:szCs w:val="24"/>
          <w:lang w:val="en-US"/>
        </w:rPr>
        <w:t>2. Regions of the Republic of Belarus. Socio</w:t>
      </w:r>
      <w:r w:rsidRPr="00FE2B5D">
        <w:rPr>
          <w:rFonts w:ascii="Times New Roman" w:eastAsia="Times New Roman" w:hAnsi="Times New Roman" w:cs="Times New Roman"/>
          <w:sz w:val="24"/>
          <w:szCs w:val="24"/>
          <w:lang w:val="en-US"/>
        </w:rPr>
        <w:t>-economic indicators: statistical compilation / Red dial: I.V. Medvedeva, I.S. Kangro, Zh.N. Vasilevskaya, E.I. Kukharevich and others; Ed. I.V. Medvedev. - Volume 2. - Minsk: National Statistical Committee of the Republic of Belarus, 2015. - 217 p.</w:t>
      </w:r>
    </w:p>
    <w:p w:rsidR="00D7613F" w:rsidRPr="00FE2B5D" w:rsidRDefault="00FE2B5D">
      <w:pPr>
        <w:ind w:firstLine="709"/>
        <w:jc w:val="both"/>
        <w:rPr>
          <w:rFonts w:ascii="Times New Roman" w:eastAsia="Times New Roman" w:hAnsi="Times New Roman" w:cs="Times New Roman"/>
          <w:sz w:val="24"/>
          <w:szCs w:val="24"/>
          <w:lang w:val="en-US"/>
        </w:rPr>
      </w:pPr>
      <w:r w:rsidRPr="00FE2B5D">
        <w:rPr>
          <w:rFonts w:ascii="Times New Roman" w:eastAsia="Times New Roman" w:hAnsi="Times New Roman" w:cs="Times New Roman"/>
          <w:sz w:val="24"/>
          <w:szCs w:val="24"/>
          <w:lang w:val="en-US"/>
        </w:rPr>
        <w:t>3. Rus</w:t>
      </w:r>
      <w:r w:rsidRPr="00FE2B5D">
        <w:rPr>
          <w:rFonts w:ascii="Times New Roman" w:eastAsia="Times New Roman" w:hAnsi="Times New Roman" w:cs="Times New Roman"/>
          <w:sz w:val="24"/>
          <w:szCs w:val="24"/>
          <w:lang w:val="en-US"/>
        </w:rPr>
        <w:t>ak, I.N. Assessment of the level of competitiveness of the regions of the Republic of Belarus / I.N. Rusak / - Minsk: Encyclopedic, 2014 - 170 p.</w:t>
      </w:r>
    </w:p>
    <w:sectPr w:rsidR="00D7613F" w:rsidRPr="00FE2B5D">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D7613F"/>
    <w:rsid w:val="00D7613F"/>
    <w:rsid w:val="00FE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FE2B5D"/>
    <w:rPr>
      <w:rFonts w:ascii="Tahoma" w:hAnsi="Tahoma" w:cs="Tahoma"/>
      <w:sz w:val="16"/>
      <w:szCs w:val="16"/>
    </w:rPr>
  </w:style>
  <w:style w:type="character" w:customStyle="1" w:styleId="a7">
    <w:name w:val="Текст выноски Знак"/>
    <w:basedOn w:val="a0"/>
    <w:link w:val="a6"/>
    <w:uiPriority w:val="99"/>
    <w:semiHidden/>
    <w:rsid w:val="00FE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FE2B5D"/>
    <w:rPr>
      <w:rFonts w:ascii="Tahoma" w:hAnsi="Tahoma" w:cs="Tahoma"/>
      <w:sz w:val="16"/>
      <w:szCs w:val="16"/>
    </w:rPr>
  </w:style>
  <w:style w:type="character" w:customStyle="1" w:styleId="a7">
    <w:name w:val="Текст выноски Знак"/>
    <w:basedOn w:val="a0"/>
    <w:link w:val="a6"/>
    <w:uiPriority w:val="99"/>
    <w:semiHidden/>
    <w:rsid w:val="00FE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 Исаева</dc:creator>
  <cp:lastModifiedBy>Наталья Д. Исаева</cp:lastModifiedBy>
  <cp:revision>2</cp:revision>
  <dcterms:created xsi:type="dcterms:W3CDTF">2017-05-23T06:02:00Z</dcterms:created>
  <dcterms:modified xsi:type="dcterms:W3CDTF">2017-05-23T06:02:00Z</dcterms:modified>
</cp:coreProperties>
</file>