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6DEA" w:rsidRPr="00B75867" w:rsidRDefault="00EE621E" w:rsidP="00B75867">
      <w:pPr>
        <w:spacing w:after="0" w:line="360" w:lineRule="auto"/>
        <w:ind w:firstLine="709"/>
        <w:jc w:val="center"/>
        <w:rPr>
          <w:rFonts w:ascii="Times New Roman" w:hAnsi="Times New Roman" w:cs="Times New Roman"/>
          <w:b/>
          <w:sz w:val="24"/>
          <w:szCs w:val="24"/>
        </w:rPr>
      </w:pPr>
      <w:bookmarkStart w:id="0" w:name="_GoBack"/>
      <w:bookmarkEnd w:id="0"/>
      <w:r w:rsidRPr="00B75867">
        <w:rPr>
          <w:rFonts w:ascii="Times New Roman" w:hAnsi="Times New Roman" w:cs="Times New Roman"/>
          <w:b/>
          <w:sz w:val="24"/>
          <w:szCs w:val="24"/>
        </w:rPr>
        <w:t>Применение различных осцилляторов в совокупности с прогрессивными методами прогнозирования цены на рынке</w:t>
      </w:r>
    </w:p>
    <w:p w:rsidR="00EE621E" w:rsidRPr="00B75867" w:rsidRDefault="00EE621E" w:rsidP="00B75867">
      <w:pPr>
        <w:spacing w:after="0" w:line="360" w:lineRule="auto"/>
        <w:ind w:firstLine="709"/>
        <w:jc w:val="center"/>
        <w:rPr>
          <w:rFonts w:ascii="Times New Roman" w:hAnsi="Times New Roman" w:cs="Times New Roman"/>
          <w:b/>
          <w:sz w:val="24"/>
          <w:szCs w:val="24"/>
          <w:lang w:val="en-US"/>
        </w:rPr>
      </w:pPr>
      <w:r w:rsidRPr="00B75867">
        <w:rPr>
          <w:rFonts w:ascii="Times New Roman" w:hAnsi="Times New Roman" w:cs="Times New Roman"/>
          <w:b/>
          <w:sz w:val="24"/>
          <w:szCs w:val="24"/>
          <w:lang w:val="en-US"/>
        </w:rPr>
        <w:t>The use of various oscillators combined with progressive methods of forecasting prices in the market</w:t>
      </w:r>
    </w:p>
    <w:p w:rsidR="00EE621E" w:rsidRDefault="00B75867" w:rsidP="00B75867">
      <w:pPr>
        <w:spacing w:after="0" w:line="360" w:lineRule="auto"/>
        <w:ind w:firstLine="709"/>
        <w:jc w:val="right"/>
        <w:rPr>
          <w:rFonts w:ascii="Times New Roman" w:hAnsi="Times New Roman" w:cs="Times New Roman"/>
          <w:sz w:val="24"/>
          <w:szCs w:val="24"/>
        </w:rPr>
      </w:pPr>
      <w:r>
        <w:rPr>
          <w:rFonts w:ascii="Times New Roman" w:hAnsi="Times New Roman" w:cs="Times New Roman"/>
          <w:sz w:val="24"/>
          <w:szCs w:val="24"/>
        </w:rPr>
        <w:t>Черкашнев Роман Юрьевич</w:t>
      </w:r>
    </w:p>
    <w:p w:rsidR="00B75867" w:rsidRDefault="00B75867" w:rsidP="00B75867">
      <w:pPr>
        <w:spacing w:after="0" w:line="360" w:lineRule="auto"/>
        <w:ind w:firstLine="709"/>
        <w:jc w:val="right"/>
        <w:rPr>
          <w:rFonts w:ascii="Times New Roman" w:hAnsi="Times New Roman" w:cs="Times New Roman"/>
          <w:sz w:val="24"/>
          <w:szCs w:val="24"/>
        </w:rPr>
      </w:pPr>
      <w:r>
        <w:rPr>
          <w:rFonts w:ascii="Times New Roman" w:hAnsi="Times New Roman" w:cs="Times New Roman"/>
          <w:sz w:val="24"/>
          <w:szCs w:val="24"/>
        </w:rPr>
        <w:t>к.э.н. доцент кафедры «Финансы и банковское дело»</w:t>
      </w:r>
    </w:p>
    <w:p w:rsidR="00B75867" w:rsidRPr="00B75867" w:rsidRDefault="00B75867" w:rsidP="00B75867">
      <w:pPr>
        <w:spacing w:after="0" w:line="360" w:lineRule="auto"/>
        <w:ind w:firstLine="709"/>
        <w:jc w:val="right"/>
        <w:rPr>
          <w:rFonts w:ascii="Times New Roman" w:hAnsi="Times New Roman" w:cs="Times New Roman"/>
          <w:sz w:val="24"/>
          <w:szCs w:val="24"/>
        </w:rPr>
      </w:pPr>
      <w:r>
        <w:rPr>
          <w:rFonts w:ascii="Times New Roman" w:hAnsi="Times New Roman" w:cs="Times New Roman"/>
          <w:sz w:val="24"/>
          <w:szCs w:val="24"/>
        </w:rPr>
        <w:t>Тамбовский государственный университет им. Г.Р. Державина</w:t>
      </w:r>
    </w:p>
    <w:p w:rsidR="00B75867" w:rsidRDefault="00B75867" w:rsidP="00EE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Аннотация: </w:t>
      </w:r>
      <w:r w:rsidRPr="00B75867">
        <w:rPr>
          <w:rFonts w:ascii="Times New Roman" w:hAnsi="Times New Roman" w:cs="Times New Roman"/>
          <w:sz w:val="24"/>
          <w:szCs w:val="24"/>
        </w:rPr>
        <w:t xml:space="preserve">Исследована возможность применения осциллятора Ларри </w:t>
      </w:r>
      <w:r>
        <w:rPr>
          <w:rFonts w:ascii="Times New Roman" w:hAnsi="Times New Roman" w:cs="Times New Roman"/>
          <w:sz w:val="24"/>
          <w:szCs w:val="24"/>
        </w:rPr>
        <w:t>В</w:t>
      </w:r>
      <w:r w:rsidRPr="00B75867">
        <w:rPr>
          <w:rFonts w:ascii="Times New Roman" w:hAnsi="Times New Roman" w:cs="Times New Roman"/>
          <w:sz w:val="24"/>
          <w:szCs w:val="24"/>
        </w:rPr>
        <w:t>ильямса на российском фондовом рынке. Исследован метод прогноза цены на основе схождения-расхождения скользящих средн</w:t>
      </w:r>
      <w:r>
        <w:rPr>
          <w:rFonts w:ascii="Times New Roman" w:hAnsi="Times New Roman" w:cs="Times New Roman"/>
          <w:sz w:val="24"/>
          <w:szCs w:val="24"/>
        </w:rPr>
        <w:t>их значений (MACD</w:t>
      </w:r>
      <w:r w:rsidRPr="00B75867">
        <w:rPr>
          <w:rFonts w:ascii="Times New Roman" w:hAnsi="Times New Roman" w:cs="Times New Roman"/>
          <w:sz w:val="24"/>
          <w:szCs w:val="24"/>
        </w:rPr>
        <w:t>). Доказан эффект синергии совокупного использования осциллятора Ларри Уильямса с методом схождения-расхождения ско</w:t>
      </w:r>
      <w:r>
        <w:rPr>
          <w:rFonts w:ascii="Times New Roman" w:hAnsi="Times New Roman" w:cs="Times New Roman"/>
          <w:sz w:val="24"/>
          <w:szCs w:val="24"/>
        </w:rPr>
        <w:t>льзящих средних значений (MACD</w:t>
      </w:r>
      <w:r w:rsidRPr="00B75867">
        <w:rPr>
          <w:rFonts w:ascii="Times New Roman" w:hAnsi="Times New Roman" w:cs="Times New Roman"/>
          <w:sz w:val="24"/>
          <w:szCs w:val="24"/>
        </w:rPr>
        <w:t>)</w:t>
      </w:r>
      <w:r>
        <w:rPr>
          <w:rFonts w:ascii="Times New Roman" w:hAnsi="Times New Roman" w:cs="Times New Roman"/>
          <w:sz w:val="24"/>
          <w:szCs w:val="24"/>
        </w:rPr>
        <w:t>.</w:t>
      </w:r>
    </w:p>
    <w:p w:rsidR="00B75867" w:rsidRPr="00B75867" w:rsidRDefault="00B75867" w:rsidP="00EE621E">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Abstract</w:t>
      </w:r>
      <w:r w:rsidRPr="00B75867">
        <w:rPr>
          <w:rFonts w:ascii="Times New Roman" w:hAnsi="Times New Roman" w:cs="Times New Roman"/>
          <w:sz w:val="24"/>
          <w:szCs w:val="24"/>
          <w:lang w:val="en-US"/>
        </w:rPr>
        <w:t xml:space="preserve">: The possibility of using the oscillator Larry Williams on the Russian stock market was investigated. The method of price forecast based on the convergence-divergence </w:t>
      </w:r>
      <w:r>
        <w:rPr>
          <w:rFonts w:ascii="Times New Roman" w:hAnsi="Times New Roman" w:cs="Times New Roman"/>
          <w:sz w:val="24"/>
          <w:szCs w:val="24"/>
          <w:lang w:val="en-US"/>
        </w:rPr>
        <w:t>of moving average values (MACD</w:t>
      </w:r>
      <w:r w:rsidRPr="00B75867">
        <w:rPr>
          <w:rFonts w:ascii="Times New Roman" w:hAnsi="Times New Roman" w:cs="Times New Roman"/>
          <w:sz w:val="24"/>
          <w:szCs w:val="24"/>
          <w:lang w:val="en-US"/>
        </w:rPr>
        <w:t xml:space="preserve">) is investigated. The effect of the synergy of the combined use of Larry Williams oscillator with the convergence-divergence method </w:t>
      </w:r>
      <w:r>
        <w:rPr>
          <w:rFonts w:ascii="Times New Roman" w:hAnsi="Times New Roman" w:cs="Times New Roman"/>
          <w:sz w:val="24"/>
          <w:szCs w:val="24"/>
          <w:lang w:val="en-US"/>
        </w:rPr>
        <w:t>of moving average values (MACD</w:t>
      </w:r>
      <w:r w:rsidRPr="00B75867">
        <w:rPr>
          <w:rFonts w:ascii="Times New Roman" w:hAnsi="Times New Roman" w:cs="Times New Roman"/>
          <w:sz w:val="24"/>
          <w:szCs w:val="24"/>
          <w:lang w:val="en-US"/>
        </w:rPr>
        <w:t>).</w:t>
      </w:r>
    </w:p>
    <w:p w:rsidR="00B75867" w:rsidRDefault="00B75867" w:rsidP="00EE621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Ключевые слова: </w:t>
      </w:r>
      <w:r w:rsidRPr="00B75867">
        <w:rPr>
          <w:rFonts w:ascii="Times New Roman" w:hAnsi="Times New Roman" w:cs="Times New Roman"/>
          <w:sz w:val="24"/>
          <w:szCs w:val="24"/>
        </w:rPr>
        <w:t xml:space="preserve">Осциллятор Ларри </w:t>
      </w:r>
      <w:r>
        <w:rPr>
          <w:rFonts w:ascii="Times New Roman" w:hAnsi="Times New Roman" w:cs="Times New Roman"/>
          <w:sz w:val="24"/>
          <w:szCs w:val="24"/>
        </w:rPr>
        <w:t>В</w:t>
      </w:r>
      <w:r w:rsidRPr="00B75867">
        <w:rPr>
          <w:rFonts w:ascii="Times New Roman" w:hAnsi="Times New Roman" w:cs="Times New Roman"/>
          <w:sz w:val="24"/>
          <w:szCs w:val="24"/>
        </w:rPr>
        <w:t>ильямса, метод схождения-расхождения ско</w:t>
      </w:r>
      <w:r>
        <w:rPr>
          <w:rFonts w:ascii="Times New Roman" w:hAnsi="Times New Roman" w:cs="Times New Roman"/>
          <w:sz w:val="24"/>
          <w:szCs w:val="24"/>
        </w:rPr>
        <w:t>льзящих средних значений (MACD</w:t>
      </w:r>
      <w:r w:rsidRPr="00B75867">
        <w:rPr>
          <w:rFonts w:ascii="Times New Roman" w:hAnsi="Times New Roman" w:cs="Times New Roman"/>
          <w:sz w:val="24"/>
          <w:szCs w:val="24"/>
        </w:rPr>
        <w:t>), прогнозирование фондового рынка</w:t>
      </w:r>
      <w:r>
        <w:rPr>
          <w:rFonts w:ascii="Times New Roman" w:hAnsi="Times New Roman" w:cs="Times New Roman"/>
          <w:sz w:val="24"/>
          <w:szCs w:val="24"/>
        </w:rPr>
        <w:t>.</w:t>
      </w:r>
    </w:p>
    <w:p w:rsidR="00B75867" w:rsidRPr="00B75867" w:rsidRDefault="00B75867" w:rsidP="00EE621E">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K</w:t>
      </w:r>
      <w:r w:rsidRPr="00B75867">
        <w:rPr>
          <w:rFonts w:ascii="Times New Roman" w:hAnsi="Times New Roman" w:cs="Times New Roman"/>
          <w:sz w:val="24"/>
          <w:szCs w:val="24"/>
          <w:lang w:val="en-US"/>
        </w:rPr>
        <w:t>eywords</w:t>
      </w:r>
      <w:r>
        <w:rPr>
          <w:rFonts w:ascii="Times New Roman" w:hAnsi="Times New Roman" w:cs="Times New Roman"/>
          <w:sz w:val="24"/>
          <w:szCs w:val="24"/>
          <w:lang w:val="en-US"/>
        </w:rPr>
        <w:t xml:space="preserve">: </w:t>
      </w:r>
      <w:r w:rsidRPr="00B75867">
        <w:rPr>
          <w:rFonts w:ascii="Times New Roman" w:hAnsi="Times New Roman" w:cs="Times New Roman"/>
          <w:sz w:val="24"/>
          <w:szCs w:val="24"/>
          <w:lang w:val="en-US"/>
        </w:rPr>
        <w:t xml:space="preserve">Oscillator Larry Williams, convergence-divergence method </w:t>
      </w:r>
      <w:r>
        <w:rPr>
          <w:rFonts w:ascii="Times New Roman" w:hAnsi="Times New Roman" w:cs="Times New Roman"/>
          <w:sz w:val="24"/>
          <w:szCs w:val="24"/>
          <w:lang w:val="en-US"/>
        </w:rPr>
        <w:t>of moving average values (MACD</w:t>
      </w:r>
      <w:r w:rsidRPr="00B75867">
        <w:rPr>
          <w:rFonts w:ascii="Times New Roman" w:hAnsi="Times New Roman" w:cs="Times New Roman"/>
          <w:sz w:val="24"/>
          <w:szCs w:val="24"/>
          <w:lang w:val="en-US"/>
        </w:rPr>
        <w:t>), stock market forecasting</w:t>
      </w:r>
    </w:p>
    <w:p w:rsidR="0084017D" w:rsidRPr="00B75867" w:rsidRDefault="0084017D"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Исторически сложилось так, что именно </w:t>
      </w:r>
      <w:proofErr w:type="spellStart"/>
      <w:r w:rsidRPr="00B75867">
        <w:rPr>
          <w:rFonts w:ascii="Times New Roman" w:hAnsi="Times New Roman" w:cs="Times New Roman"/>
          <w:sz w:val="24"/>
          <w:szCs w:val="24"/>
        </w:rPr>
        <w:t>стохастик</w:t>
      </w:r>
      <w:proofErr w:type="spellEnd"/>
      <w:r w:rsidRPr="00B75867">
        <w:rPr>
          <w:rFonts w:ascii="Times New Roman" w:hAnsi="Times New Roman" w:cs="Times New Roman"/>
          <w:sz w:val="24"/>
          <w:szCs w:val="24"/>
        </w:rPr>
        <w:t xml:space="preserve"> стал наиболее распространенным индикатором у трейдеров (особенно это касается рынка </w:t>
      </w:r>
      <w:proofErr w:type="spellStart"/>
      <w:r w:rsidRPr="00B75867">
        <w:rPr>
          <w:rFonts w:ascii="Times New Roman" w:hAnsi="Times New Roman" w:cs="Times New Roman"/>
          <w:sz w:val="24"/>
          <w:szCs w:val="24"/>
        </w:rPr>
        <w:t>форекс</w:t>
      </w:r>
      <w:proofErr w:type="spellEnd"/>
      <w:r w:rsidRPr="00B75867">
        <w:rPr>
          <w:rFonts w:ascii="Times New Roman" w:hAnsi="Times New Roman" w:cs="Times New Roman"/>
          <w:sz w:val="24"/>
          <w:szCs w:val="24"/>
        </w:rPr>
        <w:t xml:space="preserve">). Этот индикатор очень часто используется для построения торговых систем, может комбинироваться со скользящими средними, полосами </w:t>
      </w:r>
      <w:proofErr w:type="spellStart"/>
      <w:r w:rsidRPr="00B75867">
        <w:rPr>
          <w:rFonts w:ascii="Times New Roman" w:hAnsi="Times New Roman" w:cs="Times New Roman"/>
          <w:sz w:val="24"/>
          <w:szCs w:val="24"/>
        </w:rPr>
        <w:t>Боллинджера</w:t>
      </w:r>
      <w:proofErr w:type="spellEnd"/>
      <w:r w:rsidRPr="00B75867">
        <w:rPr>
          <w:rFonts w:ascii="Times New Roman" w:hAnsi="Times New Roman" w:cs="Times New Roman"/>
          <w:sz w:val="24"/>
          <w:szCs w:val="24"/>
        </w:rPr>
        <w:t xml:space="preserve"> и многими другими индикаторами, определяющими направление тренда. Намного менее известен индикатор %R, несмотря даже на то, что разработчики программного обеспечения его никогда не забывают. Смысл работы индикатора такой: он измеряет способность быков и медведей закрывать цены каждый день вблизи края </w:t>
      </w:r>
      <w:proofErr w:type="spellStart"/>
      <w:r w:rsidRPr="00B75867">
        <w:rPr>
          <w:rFonts w:ascii="Times New Roman" w:hAnsi="Times New Roman" w:cs="Times New Roman"/>
          <w:sz w:val="24"/>
          <w:szCs w:val="24"/>
        </w:rPr>
        <w:t>рейнджа</w:t>
      </w:r>
      <w:proofErr w:type="spellEnd"/>
      <w:r w:rsidRPr="00B75867">
        <w:rPr>
          <w:rFonts w:ascii="Times New Roman" w:hAnsi="Times New Roman" w:cs="Times New Roman"/>
          <w:sz w:val="24"/>
          <w:szCs w:val="24"/>
        </w:rPr>
        <w:t> за прошедший период. Индекс Вильямса подтверждает тренды и предупреждает об их грядущих изменениях.</w:t>
      </w:r>
    </w:p>
    <w:p w:rsidR="00EE621E" w:rsidRPr="00B75867" w:rsidRDefault="00EE621E"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Осциллятор %R Ларри Вильямса является индикатором технического анализа. Он был разработан в 1966 году трейдером Ларри Вильямсом, для определения </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xml:space="preserve"> и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w:t>
      </w:r>
    </w:p>
    <w:p w:rsidR="00EE621E" w:rsidRPr="00B75867" w:rsidRDefault="00EE621E" w:rsidP="00EE621E">
      <w:pPr>
        <w:spacing w:after="0" w:line="360" w:lineRule="auto"/>
        <w:ind w:firstLine="709"/>
        <w:jc w:val="both"/>
        <w:rPr>
          <w:rFonts w:ascii="Times New Roman" w:hAnsi="Times New Roman" w:cs="Times New Roman"/>
          <w:bCs/>
          <w:sz w:val="24"/>
          <w:szCs w:val="24"/>
        </w:rPr>
      </w:pPr>
      <w:r w:rsidRPr="00B75867">
        <w:rPr>
          <w:rFonts w:ascii="Times New Roman" w:hAnsi="Times New Roman" w:cs="Times New Roman"/>
          <w:bCs/>
          <w:sz w:val="24"/>
          <w:szCs w:val="24"/>
        </w:rPr>
        <w:t>Перейдем к методике расчета осциллятора %R Ларри Вильямса</w:t>
      </w:r>
    </w:p>
    <w:p w:rsidR="00EE621E" w:rsidRPr="00B75867" w:rsidRDefault="00EE621E"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Он рассчитывается по формуле:</w:t>
      </w:r>
    </w:p>
    <w:p w:rsidR="00EE621E" w:rsidRPr="00B75867" w:rsidRDefault="00EE621E"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noProof/>
          <w:sz w:val="24"/>
          <w:szCs w:val="24"/>
          <w:lang w:eastAsia="ru-RU"/>
        </w:rPr>
        <w:lastRenderedPageBreak/>
        <w:drawing>
          <wp:inline distT="0" distB="0" distL="0" distR="0">
            <wp:extent cx="4152900" cy="11811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a:blip r:embed="rId6">
                      <a:extLst>
                        <a:ext uri="{28A0092B-C50C-407E-A947-70E740481C1C}">
                          <a14:useLocalDpi xmlns:a14="http://schemas.microsoft.com/office/drawing/2010/main" val="0"/>
                        </a:ext>
                      </a:extLst>
                    </a:blip>
                    <a:stretch>
                      <a:fillRect/>
                    </a:stretch>
                  </pic:blipFill>
                  <pic:spPr>
                    <a:xfrm>
                      <a:off x="0" y="0"/>
                      <a:ext cx="4152900" cy="1181100"/>
                    </a:xfrm>
                    <a:prstGeom prst="rect">
                      <a:avLst/>
                    </a:prstGeom>
                  </pic:spPr>
                </pic:pic>
              </a:graphicData>
            </a:graphic>
          </wp:inline>
        </w:drawing>
      </w:r>
    </w:p>
    <w:p w:rsidR="00EE621E" w:rsidRPr="00B75867" w:rsidRDefault="00EE621E"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где  </w:t>
      </w:r>
      <w:proofErr w:type="spellStart"/>
      <w:r w:rsidRPr="00B75867">
        <w:rPr>
          <w:rFonts w:ascii="Times New Roman" w:hAnsi="Times New Roman" w:cs="Times New Roman"/>
          <w:sz w:val="24"/>
          <w:szCs w:val="24"/>
        </w:rPr>
        <w:t>close</w:t>
      </w:r>
      <w:r w:rsidRPr="00B75867">
        <w:rPr>
          <w:rFonts w:ascii="Times New Roman" w:hAnsi="Times New Roman" w:cs="Times New Roman"/>
          <w:sz w:val="24"/>
          <w:szCs w:val="24"/>
          <w:vertAlign w:val="subscript"/>
        </w:rPr>
        <w:t>today</w:t>
      </w:r>
      <w:proofErr w:type="spellEnd"/>
      <w:r w:rsidRPr="00B75867">
        <w:rPr>
          <w:rFonts w:ascii="Times New Roman" w:hAnsi="Times New Roman" w:cs="Times New Roman"/>
          <w:sz w:val="24"/>
          <w:szCs w:val="24"/>
        </w:rPr>
        <w:t> – цена закрытия;</w:t>
      </w:r>
    </w:p>
    <w:p w:rsidR="00EE621E" w:rsidRPr="00B75867" w:rsidRDefault="00EE621E" w:rsidP="00EE621E">
      <w:pPr>
        <w:spacing w:after="0" w:line="360" w:lineRule="auto"/>
        <w:ind w:firstLine="709"/>
        <w:jc w:val="both"/>
        <w:rPr>
          <w:rFonts w:ascii="Times New Roman" w:hAnsi="Times New Roman" w:cs="Times New Roman"/>
          <w:sz w:val="24"/>
          <w:szCs w:val="24"/>
        </w:rPr>
      </w:pPr>
      <w:proofErr w:type="spellStart"/>
      <w:r w:rsidRPr="00B75867">
        <w:rPr>
          <w:rFonts w:ascii="Times New Roman" w:hAnsi="Times New Roman" w:cs="Times New Roman"/>
          <w:sz w:val="24"/>
          <w:szCs w:val="24"/>
        </w:rPr>
        <w:t>high</w:t>
      </w:r>
      <w:r w:rsidRPr="00B75867">
        <w:rPr>
          <w:rFonts w:ascii="Times New Roman" w:hAnsi="Times New Roman" w:cs="Times New Roman"/>
          <w:sz w:val="24"/>
          <w:szCs w:val="24"/>
          <w:vertAlign w:val="subscript"/>
        </w:rPr>
        <w:t>Ndays</w:t>
      </w:r>
      <w:proofErr w:type="spellEnd"/>
      <w:r w:rsidRPr="00B75867">
        <w:rPr>
          <w:rFonts w:ascii="Times New Roman" w:hAnsi="Times New Roman" w:cs="Times New Roman"/>
          <w:sz w:val="24"/>
          <w:szCs w:val="24"/>
        </w:rPr>
        <w:t> – самая высокая цена за последние N дней;</w:t>
      </w:r>
    </w:p>
    <w:p w:rsidR="00EE621E" w:rsidRPr="00B75867" w:rsidRDefault="00EE621E" w:rsidP="00EE621E">
      <w:pPr>
        <w:spacing w:after="0" w:line="360" w:lineRule="auto"/>
        <w:ind w:firstLine="709"/>
        <w:jc w:val="both"/>
        <w:rPr>
          <w:rFonts w:ascii="Times New Roman" w:hAnsi="Times New Roman" w:cs="Times New Roman"/>
          <w:sz w:val="24"/>
          <w:szCs w:val="24"/>
        </w:rPr>
      </w:pPr>
      <w:proofErr w:type="spellStart"/>
      <w:r w:rsidRPr="00B75867">
        <w:rPr>
          <w:rFonts w:ascii="Times New Roman" w:hAnsi="Times New Roman" w:cs="Times New Roman"/>
          <w:sz w:val="24"/>
          <w:szCs w:val="24"/>
        </w:rPr>
        <w:t>low</w:t>
      </w:r>
      <w:r w:rsidRPr="00B75867">
        <w:rPr>
          <w:rFonts w:ascii="Times New Roman" w:hAnsi="Times New Roman" w:cs="Times New Roman"/>
          <w:sz w:val="24"/>
          <w:szCs w:val="24"/>
          <w:vertAlign w:val="subscript"/>
        </w:rPr>
        <w:t>Ndays</w:t>
      </w:r>
      <w:proofErr w:type="spellEnd"/>
      <w:r w:rsidRPr="00B75867">
        <w:rPr>
          <w:rFonts w:ascii="Times New Roman" w:hAnsi="Times New Roman" w:cs="Times New Roman"/>
          <w:sz w:val="24"/>
          <w:szCs w:val="24"/>
        </w:rPr>
        <w:t>  – самая низкая цена за последние N дней;</w:t>
      </w:r>
    </w:p>
    <w:p w:rsidR="00EE621E" w:rsidRPr="00B75867" w:rsidRDefault="00EE621E"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N – количество дней выбранного расчетного периода, рекомендуется использовать значения цен за последние 14 дней или выше.</w:t>
      </w:r>
    </w:p>
    <w:p w:rsidR="00EE621E" w:rsidRPr="00B75867" w:rsidRDefault="00EE621E"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Полученные по формуле результаты будут колебаться в диапазоне от 0 до -100. Близость их к нулю означает, что рынок перекуплен (значения от 0 до -20). В этом случае разворот линии осциллятора даст сигнал на продажу. Значения от -80 до -100 указывают на </w:t>
      </w:r>
      <w:proofErr w:type="spellStart"/>
      <w:r w:rsidRPr="00B75867">
        <w:rPr>
          <w:rFonts w:ascii="Times New Roman" w:hAnsi="Times New Roman" w:cs="Times New Roman"/>
          <w:sz w:val="24"/>
          <w:szCs w:val="24"/>
        </w:rPr>
        <w:t>перепроданность</w:t>
      </w:r>
      <w:proofErr w:type="spellEnd"/>
      <w:r w:rsidRPr="00B75867">
        <w:rPr>
          <w:rFonts w:ascii="Times New Roman" w:hAnsi="Times New Roman" w:cs="Times New Roman"/>
          <w:sz w:val="24"/>
          <w:szCs w:val="24"/>
        </w:rPr>
        <w:t xml:space="preserve"> рынка. Разворот линии индикатора, даст сигнал на покупку (Рисунок 1).</w:t>
      </w:r>
    </w:p>
    <w:p w:rsidR="00EE621E" w:rsidRPr="00B75867" w:rsidRDefault="00EE621E" w:rsidP="00EE621E">
      <w:pPr>
        <w:spacing w:after="0" w:line="360" w:lineRule="auto"/>
        <w:jc w:val="both"/>
        <w:rPr>
          <w:rFonts w:ascii="Times New Roman" w:hAnsi="Times New Roman" w:cs="Times New Roman"/>
          <w:sz w:val="24"/>
          <w:szCs w:val="24"/>
        </w:rPr>
      </w:pPr>
      <w:r w:rsidRPr="00B75867">
        <w:rPr>
          <w:rFonts w:ascii="Times New Roman" w:hAnsi="Times New Roman" w:cs="Times New Roman"/>
          <w:noProof/>
          <w:sz w:val="24"/>
          <w:szCs w:val="24"/>
          <w:lang w:eastAsia="ru-RU"/>
        </w:rPr>
        <w:drawing>
          <wp:inline distT="0" distB="0" distL="0" distR="0">
            <wp:extent cx="5940425" cy="2112010"/>
            <wp:effectExtent l="0" t="0" r="3175"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png"/>
                    <pic:cNvPicPr/>
                  </pic:nvPicPr>
                  <pic:blipFill>
                    <a:blip r:embed="rId7">
                      <a:extLst>
                        <a:ext uri="{28A0092B-C50C-407E-A947-70E740481C1C}">
                          <a14:useLocalDpi xmlns:a14="http://schemas.microsoft.com/office/drawing/2010/main" val="0"/>
                        </a:ext>
                      </a:extLst>
                    </a:blip>
                    <a:stretch>
                      <a:fillRect/>
                    </a:stretch>
                  </pic:blipFill>
                  <pic:spPr>
                    <a:xfrm>
                      <a:off x="0" y="0"/>
                      <a:ext cx="5940425" cy="2112010"/>
                    </a:xfrm>
                    <a:prstGeom prst="rect">
                      <a:avLst/>
                    </a:prstGeom>
                  </pic:spPr>
                </pic:pic>
              </a:graphicData>
            </a:graphic>
          </wp:inline>
        </w:drawing>
      </w:r>
    </w:p>
    <w:p w:rsidR="00EE621E" w:rsidRPr="00B75867" w:rsidRDefault="00EE621E" w:rsidP="00EE621E">
      <w:pPr>
        <w:spacing w:after="0" w:line="360" w:lineRule="auto"/>
        <w:ind w:firstLine="709"/>
        <w:jc w:val="both"/>
        <w:rPr>
          <w:rFonts w:ascii="Times New Roman" w:hAnsi="Times New Roman" w:cs="Times New Roman"/>
          <w:bCs/>
          <w:sz w:val="24"/>
          <w:szCs w:val="24"/>
        </w:rPr>
      </w:pPr>
      <w:r w:rsidRPr="00B75867">
        <w:rPr>
          <w:rFonts w:ascii="Times New Roman" w:hAnsi="Times New Roman" w:cs="Times New Roman"/>
          <w:sz w:val="24"/>
          <w:szCs w:val="24"/>
        </w:rPr>
        <w:t xml:space="preserve">Рисунок 1. Графический пример построения </w:t>
      </w:r>
      <w:r w:rsidRPr="00B75867">
        <w:rPr>
          <w:rFonts w:ascii="Times New Roman" w:hAnsi="Times New Roman" w:cs="Times New Roman"/>
          <w:bCs/>
          <w:sz w:val="24"/>
          <w:szCs w:val="24"/>
        </w:rPr>
        <w:t>осциллятора %R Ларри Вильямса.</w:t>
      </w:r>
    </w:p>
    <w:p w:rsidR="00EE621E" w:rsidRPr="00B75867" w:rsidRDefault="00EE621E"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Индикатор %R Ларри Вильямса должен определять разворот тенденции ценового тренда. Следует отметить, что достижение зон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 xml:space="preserve"> и </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xml:space="preserve"> не указывает на немедленное изменение тренда и цена все еще может двигаться в том же направлении, постоянно обновляя максимумы или минимумы. Поэтому рекомендуется использовать его в комплексе с другими инструментами технического анализа.</w:t>
      </w:r>
    </w:p>
    <w:p w:rsidR="00EE621E" w:rsidRPr="00B75867" w:rsidRDefault="00EE621E"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Следует отметить, что чем короче выбранный расчетный период времени N, тем менее надежные сигналы будут получены.</w:t>
      </w:r>
    </w:p>
    <w:p w:rsidR="00EE621E" w:rsidRPr="00B75867" w:rsidRDefault="0084017D"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В терминале МТ4 индикатор носит название </w:t>
      </w:r>
      <w:proofErr w:type="spellStart"/>
      <w:r w:rsidRPr="00B75867">
        <w:rPr>
          <w:rFonts w:ascii="Times New Roman" w:hAnsi="Times New Roman" w:cs="Times New Roman"/>
          <w:sz w:val="24"/>
          <w:szCs w:val="24"/>
        </w:rPr>
        <w:t>William`s</w:t>
      </w:r>
      <w:proofErr w:type="spellEnd"/>
      <w:r w:rsidRPr="00B75867">
        <w:rPr>
          <w:rFonts w:ascii="Times New Roman" w:hAnsi="Times New Roman" w:cs="Times New Roman"/>
          <w:sz w:val="24"/>
          <w:szCs w:val="24"/>
        </w:rPr>
        <w:t xml:space="preserve"> </w:t>
      </w:r>
      <w:proofErr w:type="spellStart"/>
      <w:r w:rsidRPr="00B75867">
        <w:rPr>
          <w:rFonts w:ascii="Times New Roman" w:hAnsi="Times New Roman" w:cs="Times New Roman"/>
          <w:sz w:val="24"/>
          <w:szCs w:val="24"/>
        </w:rPr>
        <w:t>Percent</w:t>
      </w:r>
      <w:proofErr w:type="spellEnd"/>
      <w:r w:rsidRPr="00B75867">
        <w:rPr>
          <w:rFonts w:ascii="Times New Roman" w:hAnsi="Times New Roman" w:cs="Times New Roman"/>
          <w:sz w:val="24"/>
          <w:szCs w:val="24"/>
        </w:rPr>
        <w:t xml:space="preserve"> </w:t>
      </w:r>
      <w:proofErr w:type="spellStart"/>
      <w:r w:rsidRPr="00B75867">
        <w:rPr>
          <w:rFonts w:ascii="Times New Roman" w:hAnsi="Times New Roman" w:cs="Times New Roman"/>
          <w:sz w:val="24"/>
          <w:szCs w:val="24"/>
        </w:rPr>
        <w:t>Range</w:t>
      </w:r>
      <w:proofErr w:type="spellEnd"/>
      <w:r w:rsidRPr="00B75867">
        <w:rPr>
          <w:rFonts w:ascii="Times New Roman" w:hAnsi="Times New Roman" w:cs="Times New Roman"/>
          <w:sz w:val="24"/>
          <w:szCs w:val="24"/>
        </w:rPr>
        <w:t xml:space="preserve"> и позволяет задать период усреднения, уровни сигнальных линий (по умолчанию это -80 и -20), а также стиль отображения (цвет, толщину линий и пр.). Ларри Вильямс рекомендует использование 10-дневного периода для расчетов (по умолчанию в МТ4 установлено 14). Он располагает границы зон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 xml:space="preserve"> и </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xml:space="preserve"> на уровнях 90% и 10%, </w:t>
      </w:r>
      <w:r w:rsidRPr="00B75867">
        <w:rPr>
          <w:rFonts w:ascii="Times New Roman" w:hAnsi="Times New Roman" w:cs="Times New Roman"/>
          <w:sz w:val="24"/>
          <w:szCs w:val="24"/>
        </w:rPr>
        <w:lastRenderedPageBreak/>
        <w:t xml:space="preserve">соответственно (обратите внимание, не 80 и 20, как в терминале). Индикатор можно использовать для различных временных промежутков: ежедневно, в течение дня или еженедельно. Направление еженедельной %R обычно изменяется за неделю до того, как это произойдет с еженедельной гистограммой MACD. Изгиб %R говорит о необходимости более строго пересмотреть цели и стопы, либо закрывать прибыльные сделки. Наконец, следует отметить, что нельзя постоянно руководствоваться лишь пересечениями линий %R, поскольку на </w:t>
      </w:r>
      <w:proofErr w:type="spellStart"/>
      <w:r w:rsidRPr="00B75867">
        <w:rPr>
          <w:rFonts w:ascii="Times New Roman" w:hAnsi="Times New Roman" w:cs="Times New Roman"/>
          <w:sz w:val="24"/>
          <w:szCs w:val="24"/>
        </w:rPr>
        <w:t>рейнджевых</w:t>
      </w:r>
      <w:proofErr w:type="spellEnd"/>
      <w:r w:rsidRPr="00B75867">
        <w:rPr>
          <w:rFonts w:ascii="Times New Roman" w:hAnsi="Times New Roman" w:cs="Times New Roman"/>
          <w:sz w:val="24"/>
          <w:szCs w:val="24"/>
        </w:rPr>
        <w:t> и трендовых рынках индикатор действует совершенно по-разному.</w:t>
      </w:r>
    </w:p>
    <w:p w:rsidR="006E50F3" w:rsidRPr="00B75867" w:rsidRDefault="006E50F3"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Особый способ применения %R — его использование в Теории Циклов. Рекомендуется брать 5-ти, 10-ти и 20-ти дневные отрезки, соответствующие календарным периодам: 14, 20 и 56. Но для более точного расчета используется период времени, равный 1/2 протя</w:t>
      </w:r>
      <w:r w:rsidRPr="00B75867">
        <w:rPr>
          <w:rFonts w:ascii="Times New Roman" w:hAnsi="Times New Roman" w:cs="Times New Roman"/>
          <w:sz w:val="24"/>
          <w:szCs w:val="24"/>
        </w:rPr>
        <w:softHyphen/>
        <w:t>женности цикла.</w:t>
      </w:r>
    </w:p>
    <w:p w:rsidR="006E50F3" w:rsidRPr="00B75867" w:rsidRDefault="006E50F3"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Нередко индикаторы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xml:space="preserve"> в те</w:t>
      </w:r>
      <w:r w:rsidRPr="00B75867">
        <w:rPr>
          <w:rFonts w:ascii="Times New Roman" w:hAnsi="Times New Roman" w:cs="Times New Roman"/>
          <w:sz w:val="24"/>
          <w:szCs w:val="24"/>
        </w:rPr>
        <w:softHyphen/>
        <w:t xml:space="preserve">чение длительного времени остаются в состоянии </w:t>
      </w:r>
      <w:proofErr w:type="spellStart"/>
      <w:r w:rsidRPr="00B75867">
        <w:rPr>
          <w:rFonts w:ascii="Times New Roman" w:hAnsi="Times New Roman" w:cs="Times New Roman"/>
          <w:sz w:val="24"/>
          <w:szCs w:val="24"/>
        </w:rPr>
        <w:t>перекупленноcти</w:t>
      </w:r>
      <w:proofErr w:type="spellEnd"/>
      <w:r w:rsidRPr="00B75867">
        <w:rPr>
          <w:rFonts w:ascii="Times New Roman" w:hAnsi="Times New Roman" w:cs="Times New Roman"/>
          <w:sz w:val="24"/>
          <w:szCs w:val="24"/>
        </w:rPr>
        <w:t xml:space="preserve"> или </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xml:space="preserve">, в то время как цена продолжает расти или падать. Войдя в продажи только из-за кажущейся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 можно оши</w:t>
      </w:r>
      <w:r w:rsidRPr="00B75867">
        <w:rPr>
          <w:rFonts w:ascii="Times New Roman" w:hAnsi="Times New Roman" w:cs="Times New Roman"/>
          <w:sz w:val="24"/>
          <w:szCs w:val="24"/>
        </w:rPr>
        <w:softHyphen/>
        <w:t xml:space="preserve">бочно выйти из рынка задолго до явных признаков его ослабления. Особенно часто такое случается при длительных, устоявшихся трендах – индикатор очень долго в это время может ходить внутри зон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 xml:space="preserve"> и </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xml:space="preserve"> (Рисунок 2). </w:t>
      </w:r>
    </w:p>
    <w:p w:rsidR="006E50F3" w:rsidRPr="00B75867" w:rsidRDefault="006E50F3" w:rsidP="006E50F3">
      <w:pPr>
        <w:spacing w:after="0" w:line="360" w:lineRule="auto"/>
        <w:jc w:val="both"/>
        <w:rPr>
          <w:rFonts w:ascii="Times New Roman" w:hAnsi="Times New Roman" w:cs="Times New Roman"/>
          <w:sz w:val="24"/>
          <w:szCs w:val="24"/>
        </w:rPr>
      </w:pPr>
      <w:r w:rsidRPr="00B75867">
        <w:rPr>
          <w:rFonts w:ascii="Times New Roman" w:hAnsi="Times New Roman" w:cs="Times New Roman"/>
          <w:noProof/>
          <w:sz w:val="24"/>
          <w:szCs w:val="24"/>
          <w:lang w:eastAsia="ru-RU"/>
        </w:rPr>
        <w:drawing>
          <wp:inline distT="0" distB="0" distL="0" distR="0">
            <wp:extent cx="5940425" cy="284099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0425" cy="2840990"/>
                    </a:xfrm>
                    <a:prstGeom prst="rect">
                      <a:avLst/>
                    </a:prstGeom>
                  </pic:spPr>
                </pic:pic>
              </a:graphicData>
            </a:graphic>
          </wp:inline>
        </w:drawing>
      </w:r>
    </w:p>
    <w:p w:rsidR="006E50F3" w:rsidRPr="00B75867" w:rsidRDefault="006E50F3"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Рисунок 2. Сигналы индикатора %R. [</w:t>
      </w:r>
      <w:r w:rsidR="00D825A9">
        <w:rPr>
          <w:rFonts w:ascii="Times New Roman" w:hAnsi="Times New Roman" w:cs="Times New Roman"/>
          <w:sz w:val="24"/>
          <w:szCs w:val="24"/>
        </w:rPr>
        <w:t>2</w:t>
      </w:r>
      <w:r w:rsidRPr="00B75867">
        <w:rPr>
          <w:rFonts w:ascii="Times New Roman" w:hAnsi="Times New Roman" w:cs="Times New Roman"/>
          <w:sz w:val="24"/>
          <w:szCs w:val="24"/>
        </w:rPr>
        <w:t>]</w:t>
      </w:r>
    </w:p>
    <w:p w:rsidR="006E50F3" w:rsidRPr="00B75867" w:rsidRDefault="006E50F3"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При работе по тренду на откатах в сочетании с WPR замечательно подходит индикатор </w:t>
      </w:r>
      <w:proofErr w:type="spellStart"/>
      <w:r w:rsidRPr="00B75867">
        <w:rPr>
          <w:rFonts w:ascii="Times New Roman" w:hAnsi="Times New Roman" w:cs="Times New Roman"/>
          <w:sz w:val="24"/>
          <w:szCs w:val="24"/>
        </w:rPr>
        <w:t>BollingerBands</w:t>
      </w:r>
      <w:proofErr w:type="spellEnd"/>
      <w:r w:rsidRPr="00B75867">
        <w:rPr>
          <w:rFonts w:ascii="Times New Roman" w:hAnsi="Times New Roman" w:cs="Times New Roman"/>
          <w:sz w:val="24"/>
          <w:szCs w:val="24"/>
        </w:rPr>
        <w:t>. Также подойдут и другие канальные индикаторы, например, </w:t>
      </w:r>
      <w:proofErr w:type="spellStart"/>
      <w:r w:rsidRPr="00B75867">
        <w:rPr>
          <w:rFonts w:ascii="Times New Roman" w:hAnsi="Times New Roman" w:cs="Times New Roman"/>
          <w:sz w:val="24"/>
          <w:szCs w:val="24"/>
        </w:rPr>
        <w:t>Envelopes</w:t>
      </w:r>
      <w:proofErr w:type="spellEnd"/>
      <w:r w:rsidRPr="00B75867">
        <w:rPr>
          <w:rFonts w:ascii="Times New Roman" w:hAnsi="Times New Roman" w:cs="Times New Roman"/>
          <w:sz w:val="24"/>
          <w:szCs w:val="24"/>
        </w:rPr>
        <w:t xml:space="preserve"> и Каналы </w:t>
      </w:r>
      <w:proofErr w:type="spellStart"/>
      <w:r w:rsidRPr="00B75867">
        <w:rPr>
          <w:rFonts w:ascii="Times New Roman" w:hAnsi="Times New Roman" w:cs="Times New Roman"/>
          <w:sz w:val="24"/>
          <w:szCs w:val="24"/>
        </w:rPr>
        <w:t>Кельтнера</w:t>
      </w:r>
      <w:proofErr w:type="spellEnd"/>
      <w:r w:rsidRPr="00B75867">
        <w:rPr>
          <w:rFonts w:ascii="Times New Roman" w:hAnsi="Times New Roman" w:cs="Times New Roman"/>
          <w:sz w:val="24"/>
          <w:szCs w:val="24"/>
        </w:rPr>
        <w:t>.</w:t>
      </w:r>
    </w:p>
    <w:p w:rsidR="006E50F3" w:rsidRPr="00B75867" w:rsidRDefault="001C0B00"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Приведем еще один значимый индикатор на финансовом рынке. MACD (</w:t>
      </w:r>
      <w:proofErr w:type="spellStart"/>
      <w:r w:rsidRPr="00B75867">
        <w:rPr>
          <w:rFonts w:ascii="Times New Roman" w:hAnsi="Times New Roman" w:cs="Times New Roman"/>
          <w:sz w:val="24"/>
          <w:szCs w:val="24"/>
        </w:rPr>
        <w:t>Moving</w:t>
      </w:r>
      <w:proofErr w:type="spellEnd"/>
      <w:r w:rsidRPr="00B75867">
        <w:rPr>
          <w:rFonts w:ascii="Times New Roman" w:hAnsi="Times New Roman" w:cs="Times New Roman"/>
          <w:sz w:val="24"/>
          <w:szCs w:val="24"/>
        </w:rPr>
        <w:t xml:space="preserve"> </w:t>
      </w:r>
      <w:proofErr w:type="spellStart"/>
      <w:r w:rsidRPr="00B75867">
        <w:rPr>
          <w:rFonts w:ascii="Times New Roman" w:hAnsi="Times New Roman" w:cs="Times New Roman"/>
          <w:sz w:val="24"/>
          <w:szCs w:val="24"/>
        </w:rPr>
        <w:t>Average</w:t>
      </w:r>
      <w:proofErr w:type="spellEnd"/>
      <w:r w:rsidRPr="00B75867">
        <w:rPr>
          <w:rFonts w:ascii="Times New Roman" w:hAnsi="Times New Roman" w:cs="Times New Roman"/>
          <w:sz w:val="24"/>
          <w:szCs w:val="24"/>
        </w:rPr>
        <w:t xml:space="preserve"> </w:t>
      </w:r>
      <w:proofErr w:type="spellStart"/>
      <w:r w:rsidRPr="00B75867">
        <w:rPr>
          <w:rFonts w:ascii="Times New Roman" w:hAnsi="Times New Roman" w:cs="Times New Roman"/>
          <w:sz w:val="24"/>
          <w:szCs w:val="24"/>
        </w:rPr>
        <w:t>Convergence</w:t>
      </w:r>
      <w:proofErr w:type="spellEnd"/>
      <w:r w:rsidRPr="00B75867">
        <w:rPr>
          <w:rFonts w:ascii="Times New Roman" w:hAnsi="Times New Roman" w:cs="Times New Roman"/>
          <w:sz w:val="24"/>
          <w:szCs w:val="24"/>
        </w:rPr>
        <w:t>/</w:t>
      </w:r>
      <w:proofErr w:type="spellStart"/>
      <w:r w:rsidRPr="00B75867">
        <w:rPr>
          <w:rFonts w:ascii="Times New Roman" w:hAnsi="Times New Roman" w:cs="Times New Roman"/>
          <w:sz w:val="24"/>
          <w:szCs w:val="24"/>
        </w:rPr>
        <w:t>Divergence</w:t>
      </w:r>
      <w:proofErr w:type="spellEnd"/>
      <w:r w:rsidRPr="00B75867">
        <w:rPr>
          <w:rFonts w:ascii="Times New Roman" w:hAnsi="Times New Roman" w:cs="Times New Roman"/>
          <w:sz w:val="24"/>
          <w:szCs w:val="24"/>
        </w:rPr>
        <w:t xml:space="preserve">) – это трендовый индикатор, придуманный финансистом из Нью-Йорка </w:t>
      </w:r>
      <w:proofErr w:type="spellStart"/>
      <w:r w:rsidRPr="00B75867">
        <w:rPr>
          <w:rFonts w:ascii="Times New Roman" w:hAnsi="Times New Roman" w:cs="Times New Roman"/>
          <w:sz w:val="24"/>
          <w:szCs w:val="24"/>
        </w:rPr>
        <w:t>Джеральдом</w:t>
      </w:r>
      <w:proofErr w:type="spellEnd"/>
      <w:r w:rsidRPr="00B75867">
        <w:rPr>
          <w:rFonts w:ascii="Times New Roman" w:hAnsi="Times New Roman" w:cs="Times New Roman"/>
          <w:sz w:val="24"/>
          <w:szCs w:val="24"/>
        </w:rPr>
        <w:t xml:space="preserve"> </w:t>
      </w:r>
      <w:proofErr w:type="spellStart"/>
      <w:r w:rsidRPr="00B75867">
        <w:rPr>
          <w:rFonts w:ascii="Times New Roman" w:hAnsi="Times New Roman" w:cs="Times New Roman"/>
          <w:sz w:val="24"/>
          <w:szCs w:val="24"/>
        </w:rPr>
        <w:t>Апелем</w:t>
      </w:r>
      <w:proofErr w:type="spellEnd"/>
      <w:r w:rsidRPr="00B75867">
        <w:rPr>
          <w:rFonts w:ascii="Times New Roman" w:hAnsi="Times New Roman" w:cs="Times New Roman"/>
          <w:sz w:val="24"/>
          <w:szCs w:val="24"/>
        </w:rPr>
        <w:t xml:space="preserve">. MACD показывает не только усредненный консенсус масс, </w:t>
      </w:r>
      <w:r w:rsidRPr="00B75867">
        <w:rPr>
          <w:rFonts w:ascii="Times New Roman" w:hAnsi="Times New Roman" w:cs="Times New Roman"/>
          <w:sz w:val="24"/>
          <w:szCs w:val="24"/>
        </w:rPr>
        <w:lastRenderedPageBreak/>
        <w:t>но и отражает согласованность долгосрочной и краткосрочной тенденций. Этот индикатор применяется в двух вариациях: непосредственно MACD и MACD-гистограммы. Причем первую форму применяют в роли трендового индикатора, а вторую можно использовать и в качестве осциллятора.</w:t>
      </w:r>
    </w:p>
    <w:p w:rsidR="001C0B00" w:rsidRPr="00B75867" w:rsidRDefault="001C0B00"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Наглядно построение  индикатора MACD продемонстрируем на графике изменения цен акций ПАО Сбербанк (рисунок 3).</w:t>
      </w:r>
    </w:p>
    <w:p w:rsidR="001C0B00" w:rsidRPr="00B75867" w:rsidRDefault="001C0B00" w:rsidP="001C0B00">
      <w:pPr>
        <w:spacing w:after="0" w:line="360" w:lineRule="auto"/>
        <w:jc w:val="both"/>
        <w:rPr>
          <w:rFonts w:ascii="Times New Roman" w:hAnsi="Times New Roman" w:cs="Times New Roman"/>
          <w:sz w:val="24"/>
          <w:szCs w:val="24"/>
        </w:rPr>
      </w:pPr>
      <w:r w:rsidRPr="00B75867">
        <w:rPr>
          <w:rFonts w:ascii="Times New Roman" w:hAnsi="Times New Roman" w:cs="Times New Roman"/>
          <w:noProof/>
          <w:sz w:val="24"/>
          <w:szCs w:val="24"/>
          <w:lang w:eastAsia="ru-RU"/>
        </w:rPr>
        <w:drawing>
          <wp:inline distT="0" distB="0" distL="0" distR="0">
            <wp:extent cx="5940425" cy="329946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JPG"/>
                    <pic:cNvPicPr/>
                  </pic:nvPicPr>
                  <pic:blipFill>
                    <a:blip r:embed="rId9">
                      <a:extLst>
                        <a:ext uri="{28A0092B-C50C-407E-A947-70E740481C1C}">
                          <a14:useLocalDpi xmlns:a14="http://schemas.microsoft.com/office/drawing/2010/main" val="0"/>
                        </a:ext>
                      </a:extLst>
                    </a:blip>
                    <a:stretch>
                      <a:fillRect/>
                    </a:stretch>
                  </pic:blipFill>
                  <pic:spPr>
                    <a:xfrm>
                      <a:off x="0" y="0"/>
                      <a:ext cx="5940425" cy="3299460"/>
                    </a:xfrm>
                    <a:prstGeom prst="rect">
                      <a:avLst/>
                    </a:prstGeom>
                  </pic:spPr>
                </pic:pic>
              </a:graphicData>
            </a:graphic>
          </wp:inline>
        </w:drawing>
      </w:r>
    </w:p>
    <w:p w:rsidR="001C0B00" w:rsidRPr="00B75867" w:rsidRDefault="001C0B00" w:rsidP="00EE621E">
      <w:pPr>
        <w:spacing w:after="0" w:line="360" w:lineRule="auto"/>
        <w:ind w:firstLine="709"/>
        <w:jc w:val="both"/>
        <w:rPr>
          <w:rFonts w:ascii="Times New Roman" w:hAnsi="Times New Roman" w:cs="Times New Roman"/>
          <w:sz w:val="24"/>
          <w:szCs w:val="24"/>
        </w:rPr>
      </w:pPr>
    </w:p>
    <w:p w:rsidR="001C0B00" w:rsidRPr="00B75867" w:rsidRDefault="001C0B00"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Рисунок 3. Пример построения индикатора MACD.</w:t>
      </w:r>
    </w:p>
    <w:p w:rsidR="001C0B00" w:rsidRPr="00B75867" w:rsidRDefault="001C0B00" w:rsidP="001C0B00">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Индикатор MACD представляет собой комбинацию из трех скользящих средних, причем визуализированными будут только две из них. Одна, более быстрая (отражает краткосрочную тенденцию), называется «линией MACD», другая, более медленная (отражает долгосрочную тенденцию), – «сигнальной линией MACD»</w:t>
      </w:r>
      <w:r w:rsidR="00D825A9">
        <w:rPr>
          <w:rFonts w:ascii="Times New Roman" w:hAnsi="Times New Roman" w:cs="Times New Roman"/>
          <w:sz w:val="24"/>
          <w:szCs w:val="24"/>
        </w:rPr>
        <w:t>[</w:t>
      </w:r>
      <w:r w:rsidR="00D825A9" w:rsidRPr="00D825A9">
        <w:rPr>
          <w:rFonts w:ascii="Times New Roman" w:hAnsi="Times New Roman" w:cs="Times New Roman"/>
          <w:sz w:val="24"/>
          <w:szCs w:val="24"/>
        </w:rPr>
        <w:t>1</w:t>
      </w:r>
      <w:r w:rsidR="00D825A9">
        <w:rPr>
          <w:rFonts w:ascii="Times New Roman" w:hAnsi="Times New Roman" w:cs="Times New Roman"/>
          <w:sz w:val="24"/>
          <w:szCs w:val="24"/>
        </w:rPr>
        <w:t>]</w:t>
      </w:r>
      <w:r w:rsidRPr="00B75867">
        <w:rPr>
          <w:rFonts w:ascii="Times New Roman" w:hAnsi="Times New Roman" w:cs="Times New Roman"/>
          <w:sz w:val="24"/>
          <w:szCs w:val="24"/>
        </w:rPr>
        <w:t>.</w:t>
      </w:r>
    </w:p>
    <w:p w:rsidR="001C0B00" w:rsidRPr="00B75867" w:rsidRDefault="001C0B00" w:rsidP="001C0B00">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Для построения данного индикатора необходимо взять экспоненциальное скользящее среднее (ЕМА) от цен закрытия с периодом усреднения 12. После от тех же цен закрытия следует вычислить еще одну ЕМА с периодом усреднения 26. Следующий шаг – вычесть из 12 ЕМА (оно будет больше, чем 26, в растущем тренде и меньше – в падающем) 26 ЕМА. Собственно, начертание этой разницы и образует быструю линию MACD. Для начертания сигнальной линии MACD следует вычислить ЕМА с периодом усреднения 9 от линии MACD (полученной разницы между 12 и 26 ЕМА). Таким образом получается индикатор, представляющий из себя две линии, периодически переплетающиеся между собой. Как раз 12, 26 и 9 являются стандартными параметрами ЕМА для построения индикатора MACD.</w:t>
      </w:r>
    </w:p>
    <w:p w:rsidR="001C0B00" w:rsidRPr="00B75867" w:rsidRDefault="001C0B00"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lastRenderedPageBreak/>
        <w:t xml:space="preserve">Трендовый индикатор MACD позволяет идентифицировать тренд и совершать прибыльные сделки в соответствии с его указаниями. При этом индикатор дает меньше ложных сигналов, чем скользящее среднее в его базовой форме. Однако не стоит забывать, что MACD можно использовать к качестве фильтра направления сделок (только </w:t>
      </w:r>
      <w:proofErr w:type="spellStart"/>
      <w:r w:rsidRPr="00B75867">
        <w:rPr>
          <w:rFonts w:ascii="Times New Roman" w:hAnsi="Times New Roman" w:cs="Times New Roman"/>
          <w:sz w:val="24"/>
          <w:szCs w:val="24"/>
        </w:rPr>
        <w:t>лонг</w:t>
      </w:r>
      <w:proofErr w:type="spellEnd"/>
      <w:r w:rsidRPr="00B75867">
        <w:rPr>
          <w:rFonts w:ascii="Times New Roman" w:hAnsi="Times New Roman" w:cs="Times New Roman"/>
          <w:sz w:val="24"/>
          <w:szCs w:val="24"/>
        </w:rPr>
        <w:t xml:space="preserve"> при нахождении линии индикатора выше сигнальной, и наоборот), совершая непосредственно сделки по показателям осцилляторов (</w:t>
      </w:r>
      <w:proofErr w:type="spellStart"/>
      <w:r w:rsidRPr="00B75867">
        <w:rPr>
          <w:rFonts w:ascii="Times New Roman" w:hAnsi="Times New Roman" w:cs="Times New Roman"/>
          <w:sz w:val="24"/>
          <w:szCs w:val="24"/>
        </w:rPr>
        <w:t>лонг</w:t>
      </w:r>
      <w:proofErr w:type="spellEnd"/>
      <w:r w:rsidRPr="00B75867">
        <w:rPr>
          <w:rFonts w:ascii="Times New Roman" w:hAnsi="Times New Roman" w:cs="Times New Roman"/>
          <w:sz w:val="24"/>
          <w:szCs w:val="24"/>
        </w:rPr>
        <w:t xml:space="preserve"> от зоны </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xml:space="preserve"> при растущем тренде по MACD, и наоборот).</w:t>
      </w:r>
    </w:p>
    <w:p w:rsidR="001C0B00" w:rsidRPr="00B75867" w:rsidRDefault="001B0599"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MACD также может быть использован как индикатор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xml:space="preserve">. Когда более короткая скользящая средняя сильно отталкивается от более длинной (т.е. MACD растет), возможно, что цены слишком сильно оторвались от "нормальных" уровней и возможна корректировка вниз. Но необходимо учитывать, что уровни MACD, показывающие </w:t>
      </w:r>
      <w:proofErr w:type="spellStart"/>
      <w:r w:rsidRPr="00B75867">
        <w:rPr>
          <w:rFonts w:ascii="Times New Roman" w:hAnsi="Times New Roman" w:cs="Times New Roman"/>
          <w:sz w:val="24"/>
          <w:szCs w:val="24"/>
        </w:rPr>
        <w:t>перекупленность</w:t>
      </w:r>
      <w:proofErr w:type="spellEnd"/>
      <w:r w:rsidRPr="00B75867">
        <w:rPr>
          <w:rFonts w:ascii="Times New Roman" w:hAnsi="Times New Roman" w:cs="Times New Roman"/>
          <w:sz w:val="24"/>
          <w:szCs w:val="24"/>
        </w:rPr>
        <w:t>/</w:t>
      </w:r>
      <w:proofErr w:type="spellStart"/>
      <w:r w:rsidRPr="00B75867">
        <w:rPr>
          <w:rFonts w:ascii="Times New Roman" w:hAnsi="Times New Roman" w:cs="Times New Roman"/>
          <w:sz w:val="24"/>
          <w:szCs w:val="24"/>
        </w:rPr>
        <w:t>перепроданность</w:t>
      </w:r>
      <w:proofErr w:type="spellEnd"/>
      <w:r w:rsidRPr="00B75867">
        <w:rPr>
          <w:rFonts w:ascii="Times New Roman" w:hAnsi="Times New Roman" w:cs="Times New Roman"/>
          <w:sz w:val="24"/>
          <w:szCs w:val="24"/>
        </w:rPr>
        <w:t>, сильно варьируются от актива к активу</w:t>
      </w:r>
      <w:r w:rsidR="00D825A9" w:rsidRPr="00D825A9">
        <w:rPr>
          <w:rFonts w:ascii="Times New Roman" w:hAnsi="Times New Roman" w:cs="Times New Roman"/>
          <w:sz w:val="24"/>
          <w:szCs w:val="24"/>
        </w:rPr>
        <w:t>[</w:t>
      </w:r>
      <w:r w:rsidR="00D825A9">
        <w:rPr>
          <w:rFonts w:ascii="Times New Roman" w:hAnsi="Times New Roman" w:cs="Times New Roman"/>
          <w:sz w:val="24"/>
          <w:szCs w:val="24"/>
        </w:rPr>
        <w:t>3</w:t>
      </w:r>
      <w:r w:rsidR="00D825A9" w:rsidRPr="00D825A9">
        <w:rPr>
          <w:rFonts w:ascii="Times New Roman" w:hAnsi="Times New Roman" w:cs="Times New Roman"/>
          <w:sz w:val="24"/>
          <w:szCs w:val="24"/>
        </w:rPr>
        <w:t>]</w:t>
      </w:r>
      <w:r w:rsidRPr="00B75867">
        <w:rPr>
          <w:rFonts w:ascii="Times New Roman" w:hAnsi="Times New Roman" w:cs="Times New Roman"/>
          <w:sz w:val="24"/>
          <w:szCs w:val="24"/>
        </w:rPr>
        <w:t>.</w:t>
      </w:r>
    </w:p>
    <w:p w:rsidR="001B0599" w:rsidRPr="00B75867" w:rsidRDefault="001B0599"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Используя в паре индикаторы MACD (как индикатор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и Осциллятор %R Ларри Вильямса можно более точно принимать сигналы рынка на разворот. Представим эти 2 индикатора на графике движения цены акций ПАО Сбербанк (рисунок 4).</w:t>
      </w:r>
    </w:p>
    <w:p w:rsidR="001B0599" w:rsidRPr="00B75867" w:rsidRDefault="001B0599" w:rsidP="001B0599">
      <w:pPr>
        <w:spacing w:after="0" w:line="360" w:lineRule="auto"/>
        <w:jc w:val="both"/>
        <w:rPr>
          <w:rFonts w:ascii="Times New Roman" w:hAnsi="Times New Roman" w:cs="Times New Roman"/>
          <w:sz w:val="24"/>
          <w:szCs w:val="24"/>
        </w:rPr>
      </w:pPr>
      <w:r w:rsidRPr="00B75867">
        <w:rPr>
          <w:rFonts w:ascii="Times New Roman" w:hAnsi="Times New Roman" w:cs="Times New Roman"/>
          <w:noProof/>
          <w:sz w:val="24"/>
          <w:szCs w:val="24"/>
          <w:lang w:eastAsia="ru-RU"/>
        </w:rPr>
        <w:drawing>
          <wp:inline distT="0" distB="0" distL="0" distR="0">
            <wp:extent cx="5940425" cy="3580765"/>
            <wp:effectExtent l="0" t="0" r="3175"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5.JPG"/>
                    <pic:cNvPicPr/>
                  </pic:nvPicPr>
                  <pic:blipFill>
                    <a:blip r:embed="rId10">
                      <a:extLst>
                        <a:ext uri="{28A0092B-C50C-407E-A947-70E740481C1C}">
                          <a14:useLocalDpi xmlns:a14="http://schemas.microsoft.com/office/drawing/2010/main" val="0"/>
                        </a:ext>
                      </a:extLst>
                    </a:blip>
                    <a:stretch>
                      <a:fillRect/>
                    </a:stretch>
                  </pic:blipFill>
                  <pic:spPr>
                    <a:xfrm>
                      <a:off x="0" y="0"/>
                      <a:ext cx="5940425" cy="3580765"/>
                    </a:xfrm>
                    <a:prstGeom prst="rect">
                      <a:avLst/>
                    </a:prstGeom>
                  </pic:spPr>
                </pic:pic>
              </a:graphicData>
            </a:graphic>
          </wp:inline>
        </w:drawing>
      </w:r>
    </w:p>
    <w:p w:rsidR="001B0599" w:rsidRPr="00B75867" w:rsidRDefault="00BD10E7"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Рисунок 4. Параллельное использование MACD  и осциллятора %R Ларри Вильямса.</w:t>
      </w:r>
    </w:p>
    <w:p w:rsidR="001B0599" w:rsidRPr="00B75867" w:rsidRDefault="00BD10E7"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Тем не менее иногда согласование между последовательно повышающимися максимумами цен и линии MACD нарушается. Этот признак носит специальное название — неудачный размах. К примеру, если цены формируют следующий максимум, лежащий выше </w:t>
      </w:r>
      <w:r w:rsidRPr="00B75867">
        <w:rPr>
          <w:rFonts w:ascii="Times New Roman" w:hAnsi="Times New Roman" w:cs="Times New Roman"/>
          <w:sz w:val="24"/>
          <w:szCs w:val="24"/>
        </w:rPr>
        <w:lastRenderedPageBreak/>
        <w:t>предыдущего, а максимум сигнальной линии не превосходит предыдущий, то этот неудачный размах называется медвежьей дивергенцией.</w:t>
      </w:r>
    </w:p>
    <w:p w:rsidR="00BD10E7" w:rsidRPr="00B75867" w:rsidRDefault="00BD10E7"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 xml:space="preserve">Из проведенного выше анализа можно сделать вывод о рациональном использовании индикатора MACD (как индикатора </w:t>
      </w:r>
      <w:proofErr w:type="spellStart"/>
      <w:r w:rsidRPr="00B75867">
        <w:rPr>
          <w:rFonts w:ascii="Times New Roman" w:hAnsi="Times New Roman" w:cs="Times New Roman"/>
          <w:sz w:val="24"/>
          <w:szCs w:val="24"/>
        </w:rPr>
        <w:t>перекупленности</w:t>
      </w:r>
      <w:proofErr w:type="spellEnd"/>
      <w:r w:rsidRPr="00B75867">
        <w:rPr>
          <w:rFonts w:ascii="Times New Roman" w:hAnsi="Times New Roman" w:cs="Times New Roman"/>
          <w:sz w:val="24"/>
          <w:szCs w:val="24"/>
        </w:rPr>
        <w:t>/</w:t>
      </w:r>
      <w:proofErr w:type="spellStart"/>
      <w:r w:rsidRPr="00B75867">
        <w:rPr>
          <w:rFonts w:ascii="Times New Roman" w:hAnsi="Times New Roman" w:cs="Times New Roman"/>
          <w:sz w:val="24"/>
          <w:szCs w:val="24"/>
        </w:rPr>
        <w:t>перепроданности</w:t>
      </w:r>
      <w:proofErr w:type="spellEnd"/>
      <w:r w:rsidRPr="00B75867">
        <w:rPr>
          <w:rFonts w:ascii="Times New Roman" w:hAnsi="Times New Roman" w:cs="Times New Roman"/>
          <w:sz w:val="24"/>
          <w:szCs w:val="24"/>
        </w:rPr>
        <w:t>) и осциллятора %R Ларри Вильямса. Трейдеру необходимо подтверждать гипотезу о развороте тренда различными методами, что повышает точность прогнозов изменения цены актива. Совокупное построение  MACD и осциллятора %R Ларри Вильямса повышает точность прогноза разворота тренда.</w:t>
      </w:r>
    </w:p>
    <w:p w:rsidR="006E50F3" w:rsidRPr="00B75867" w:rsidRDefault="006E50F3" w:rsidP="00EE621E">
      <w:pPr>
        <w:spacing w:after="0" w:line="360" w:lineRule="auto"/>
        <w:ind w:firstLine="709"/>
        <w:jc w:val="both"/>
        <w:rPr>
          <w:rFonts w:ascii="Times New Roman" w:hAnsi="Times New Roman" w:cs="Times New Roman"/>
          <w:sz w:val="24"/>
          <w:szCs w:val="24"/>
        </w:rPr>
      </w:pPr>
      <w:r w:rsidRPr="00B75867">
        <w:rPr>
          <w:rFonts w:ascii="Times New Roman" w:hAnsi="Times New Roman" w:cs="Times New Roman"/>
          <w:sz w:val="24"/>
          <w:szCs w:val="24"/>
        </w:rPr>
        <w:t>Источники:</w:t>
      </w:r>
    </w:p>
    <w:p w:rsidR="00D825A9" w:rsidRPr="00D825A9" w:rsidRDefault="00D825A9" w:rsidP="00944A2F">
      <w:pPr>
        <w:pStyle w:val="a5"/>
        <w:numPr>
          <w:ilvl w:val="0"/>
          <w:numId w:val="1"/>
        </w:numPr>
        <w:spacing w:after="0" w:line="360" w:lineRule="auto"/>
        <w:jc w:val="both"/>
        <w:rPr>
          <w:rFonts w:ascii="Times New Roman" w:hAnsi="Times New Roman" w:cs="Times New Roman"/>
          <w:sz w:val="24"/>
          <w:szCs w:val="24"/>
        </w:rPr>
      </w:pPr>
      <w:proofErr w:type="spellStart"/>
      <w:r w:rsidRPr="00D825A9">
        <w:rPr>
          <w:rFonts w:ascii="Times New Roman" w:hAnsi="Times New Roman" w:cs="Times New Roman"/>
          <w:sz w:val="24"/>
          <w:szCs w:val="24"/>
        </w:rPr>
        <w:t>Подкопытнова</w:t>
      </w:r>
      <w:proofErr w:type="spellEnd"/>
      <w:r w:rsidRPr="00D825A9">
        <w:rPr>
          <w:rFonts w:ascii="Times New Roman" w:hAnsi="Times New Roman" w:cs="Times New Roman"/>
          <w:sz w:val="24"/>
          <w:szCs w:val="24"/>
        </w:rPr>
        <w:t xml:space="preserve"> Д.В., </w:t>
      </w:r>
      <w:proofErr w:type="spellStart"/>
      <w:r w:rsidRPr="00D825A9">
        <w:rPr>
          <w:rFonts w:ascii="Times New Roman" w:hAnsi="Times New Roman" w:cs="Times New Roman"/>
          <w:sz w:val="24"/>
          <w:szCs w:val="24"/>
        </w:rPr>
        <w:t>Атанова</w:t>
      </w:r>
      <w:proofErr w:type="spellEnd"/>
      <w:r w:rsidRPr="00D825A9">
        <w:rPr>
          <w:rFonts w:ascii="Times New Roman" w:hAnsi="Times New Roman" w:cs="Times New Roman"/>
          <w:sz w:val="24"/>
          <w:szCs w:val="24"/>
        </w:rPr>
        <w:t xml:space="preserve"> Э.В. Применение метода скользящих средних на фондовом рынке / Научно-практические исследования. 2017. № 9 (9). С. 105-107.</w:t>
      </w:r>
    </w:p>
    <w:p w:rsidR="006E50F3" w:rsidRDefault="006E50F3" w:rsidP="006E50F3">
      <w:pPr>
        <w:pStyle w:val="a5"/>
        <w:numPr>
          <w:ilvl w:val="0"/>
          <w:numId w:val="1"/>
        </w:numPr>
        <w:spacing w:after="0" w:line="360" w:lineRule="auto"/>
        <w:jc w:val="both"/>
        <w:rPr>
          <w:rFonts w:ascii="Times New Roman" w:hAnsi="Times New Roman" w:cs="Times New Roman"/>
          <w:sz w:val="24"/>
          <w:szCs w:val="24"/>
        </w:rPr>
      </w:pPr>
      <w:r w:rsidRPr="00B75867">
        <w:rPr>
          <w:rFonts w:ascii="Times New Roman" w:hAnsi="Times New Roman" w:cs="Times New Roman"/>
          <w:sz w:val="24"/>
          <w:szCs w:val="24"/>
        </w:rPr>
        <w:t xml:space="preserve">https://www.mql5.com/ru/blogs/post/704249 </w:t>
      </w:r>
    </w:p>
    <w:p w:rsidR="00D825A9" w:rsidRPr="00B75867" w:rsidRDefault="00D825A9" w:rsidP="00D825A9">
      <w:pPr>
        <w:pStyle w:val="a5"/>
        <w:numPr>
          <w:ilvl w:val="0"/>
          <w:numId w:val="1"/>
        </w:numPr>
        <w:spacing w:after="0" w:line="360" w:lineRule="auto"/>
        <w:jc w:val="both"/>
        <w:rPr>
          <w:rFonts w:ascii="Times New Roman" w:hAnsi="Times New Roman" w:cs="Times New Roman"/>
          <w:sz w:val="24"/>
          <w:szCs w:val="24"/>
        </w:rPr>
      </w:pPr>
      <w:r w:rsidRPr="00D825A9">
        <w:rPr>
          <w:rFonts w:ascii="Times New Roman" w:hAnsi="Times New Roman" w:cs="Times New Roman"/>
          <w:sz w:val="24"/>
          <w:szCs w:val="24"/>
        </w:rPr>
        <w:t>https://www.opentrainer.ru/articles/indikator-shozhdeniya-rashozhdeniya-pokazatelya-srednego-dvizheniya-kursa-macd/</w:t>
      </w:r>
    </w:p>
    <w:sectPr w:rsidR="00D825A9" w:rsidRPr="00B75867" w:rsidSect="00B7586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F21CDD"/>
    <w:multiLevelType w:val="hybridMultilevel"/>
    <w:tmpl w:val="885CD796"/>
    <w:lvl w:ilvl="0" w:tplc="1BC822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DDE"/>
    <w:rsid w:val="0014051D"/>
    <w:rsid w:val="001B0599"/>
    <w:rsid w:val="001C0B00"/>
    <w:rsid w:val="001F4DDE"/>
    <w:rsid w:val="006E50F3"/>
    <w:rsid w:val="007419BF"/>
    <w:rsid w:val="0084017D"/>
    <w:rsid w:val="00B75867"/>
    <w:rsid w:val="00BD10E7"/>
    <w:rsid w:val="00D825A9"/>
    <w:rsid w:val="00DD6DEA"/>
    <w:rsid w:val="00EE62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E621E"/>
    <w:rPr>
      <w:color w:val="808080"/>
    </w:rPr>
  </w:style>
  <w:style w:type="character" w:styleId="a4">
    <w:name w:val="Hyperlink"/>
    <w:basedOn w:val="a0"/>
    <w:uiPriority w:val="99"/>
    <w:unhideWhenUsed/>
    <w:rsid w:val="00EE621E"/>
    <w:rPr>
      <w:color w:val="0563C1" w:themeColor="hyperlink"/>
      <w:u w:val="single"/>
    </w:rPr>
  </w:style>
  <w:style w:type="paragraph" w:styleId="a5">
    <w:name w:val="List Paragraph"/>
    <w:basedOn w:val="a"/>
    <w:uiPriority w:val="34"/>
    <w:qFormat/>
    <w:rsid w:val="006E50F3"/>
    <w:pPr>
      <w:ind w:left="720"/>
      <w:contextualSpacing/>
    </w:pPr>
  </w:style>
  <w:style w:type="paragraph" w:styleId="a6">
    <w:name w:val="Balloon Text"/>
    <w:basedOn w:val="a"/>
    <w:link w:val="a7"/>
    <w:uiPriority w:val="99"/>
    <w:semiHidden/>
    <w:unhideWhenUsed/>
    <w:rsid w:val="007419B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419B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E621E"/>
    <w:rPr>
      <w:color w:val="808080"/>
    </w:rPr>
  </w:style>
  <w:style w:type="character" w:styleId="a4">
    <w:name w:val="Hyperlink"/>
    <w:basedOn w:val="a0"/>
    <w:uiPriority w:val="99"/>
    <w:unhideWhenUsed/>
    <w:rsid w:val="00EE621E"/>
    <w:rPr>
      <w:color w:val="0563C1" w:themeColor="hyperlink"/>
      <w:u w:val="single"/>
    </w:rPr>
  </w:style>
  <w:style w:type="paragraph" w:styleId="a5">
    <w:name w:val="List Paragraph"/>
    <w:basedOn w:val="a"/>
    <w:uiPriority w:val="34"/>
    <w:qFormat/>
    <w:rsid w:val="006E50F3"/>
    <w:pPr>
      <w:ind w:left="720"/>
      <w:contextualSpacing/>
    </w:pPr>
  </w:style>
  <w:style w:type="paragraph" w:styleId="a6">
    <w:name w:val="Balloon Text"/>
    <w:basedOn w:val="a"/>
    <w:link w:val="a7"/>
    <w:uiPriority w:val="99"/>
    <w:semiHidden/>
    <w:unhideWhenUsed/>
    <w:rsid w:val="007419B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419B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18062">
      <w:bodyDiv w:val="1"/>
      <w:marLeft w:val="0"/>
      <w:marRight w:val="0"/>
      <w:marTop w:val="0"/>
      <w:marBottom w:val="0"/>
      <w:divBdr>
        <w:top w:val="none" w:sz="0" w:space="0" w:color="auto"/>
        <w:left w:val="none" w:sz="0" w:space="0" w:color="auto"/>
        <w:bottom w:val="none" w:sz="0" w:space="0" w:color="auto"/>
        <w:right w:val="none" w:sz="0" w:space="0" w:color="auto"/>
      </w:divBdr>
    </w:div>
    <w:div w:id="916288438">
      <w:bodyDiv w:val="1"/>
      <w:marLeft w:val="0"/>
      <w:marRight w:val="0"/>
      <w:marTop w:val="0"/>
      <w:marBottom w:val="0"/>
      <w:divBdr>
        <w:top w:val="none" w:sz="0" w:space="0" w:color="auto"/>
        <w:left w:val="none" w:sz="0" w:space="0" w:color="auto"/>
        <w:bottom w:val="none" w:sz="0" w:space="0" w:color="auto"/>
        <w:right w:val="none" w:sz="0" w:space="0" w:color="auto"/>
      </w:divBdr>
    </w:div>
    <w:div w:id="1268467964">
      <w:bodyDiv w:val="1"/>
      <w:marLeft w:val="0"/>
      <w:marRight w:val="0"/>
      <w:marTop w:val="0"/>
      <w:marBottom w:val="0"/>
      <w:divBdr>
        <w:top w:val="none" w:sz="0" w:space="0" w:color="auto"/>
        <w:left w:val="none" w:sz="0" w:space="0" w:color="auto"/>
        <w:bottom w:val="none" w:sz="0" w:space="0" w:color="auto"/>
        <w:right w:val="none" w:sz="0" w:space="0" w:color="auto"/>
      </w:divBdr>
    </w:div>
    <w:div w:id="2053071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image" Target="media/image4.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1414</Words>
  <Characters>8064</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Роман</dc:creator>
  <cp:lastModifiedBy>Мария А. Печенская</cp:lastModifiedBy>
  <cp:revision>2</cp:revision>
  <dcterms:created xsi:type="dcterms:W3CDTF">2018-05-07T08:54:00Z</dcterms:created>
  <dcterms:modified xsi:type="dcterms:W3CDTF">2018-05-07T08:54:00Z</dcterms:modified>
</cp:coreProperties>
</file>