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7129" w:rsidRDefault="003C4DA6" w:rsidP="0088788C">
      <w:pPr>
        <w:spacing w:after="0" w:line="240" w:lineRule="auto"/>
        <w:rPr>
          <w:rFonts w:ascii="Times New Roman" w:hAnsi="Times New Roman" w:cs="Times New Roman"/>
          <w:sz w:val="24"/>
          <w:szCs w:val="24"/>
        </w:rPr>
      </w:pPr>
      <w:r w:rsidRPr="003C4DA6">
        <w:rPr>
          <w:rFonts w:ascii="Times New Roman" w:hAnsi="Times New Roman" w:cs="Times New Roman"/>
          <w:sz w:val="24"/>
          <w:szCs w:val="24"/>
        </w:rPr>
        <w:t>УДК 332</w:t>
      </w:r>
    </w:p>
    <w:p w:rsidR="003C4DA6" w:rsidRDefault="003C4DA6" w:rsidP="0088788C">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Клевцов С. М., Тевяшова А. С.</w:t>
      </w:r>
    </w:p>
    <w:p w:rsidR="003C4DA6" w:rsidRDefault="003C4DA6" w:rsidP="0088788C">
      <w:pPr>
        <w:spacing w:after="0" w:line="240" w:lineRule="auto"/>
        <w:jc w:val="center"/>
        <w:rPr>
          <w:rFonts w:ascii="Times New Roman" w:hAnsi="Times New Roman" w:cs="Times New Roman"/>
          <w:sz w:val="24"/>
          <w:szCs w:val="24"/>
        </w:rPr>
      </w:pPr>
    </w:p>
    <w:p w:rsidR="003C4DA6" w:rsidRDefault="003C4DA6" w:rsidP="0088788C">
      <w:pPr>
        <w:spacing w:after="0" w:line="240" w:lineRule="auto"/>
        <w:jc w:val="center"/>
        <w:rPr>
          <w:rFonts w:ascii="Times New Roman" w:hAnsi="Times New Roman" w:cs="Times New Roman"/>
          <w:b/>
          <w:sz w:val="24"/>
          <w:szCs w:val="24"/>
        </w:rPr>
      </w:pPr>
      <w:r w:rsidRPr="003C4DA6">
        <w:rPr>
          <w:rFonts w:ascii="Times New Roman" w:hAnsi="Times New Roman" w:cs="Times New Roman"/>
          <w:b/>
          <w:sz w:val="24"/>
          <w:szCs w:val="24"/>
        </w:rPr>
        <w:t>ВЛИЯНИЕ ЦИФРОВОЙ ЭКОНОМИКИ НА РАЗВИТИЕ СОЦИАЛЬНО-ЭКОНОМИЧЕСКИХ ПРОИЗВОДСТВ РЕГИОНА (НА ПРИМЕРЕ КУРСКОЙ ОБЛАСТИ)</w:t>
      </w:r>
    </w:p>
    <w:p w:rsidR="003C4DA6" w:rsidRDefault="003C4DA6" w:rsidP="0088788C">
      <w:pPr>
        <w:spacing w:after="0" w:line="240" w:lineRule="auto"/>
        <w:jc w:val="center"/>
        <w:rPr>
          <w:rFonts w:ascii="Times New Roman" w:hAnsi="Times New Roman" w:cs="Times New Roman"/>
          <w:b/>
          <w:sz w:val="24"/>
          <w:szCs w:val="24"/>
        </w:rPr>
      </w:pPr>
    </w:p>
    <w:p w:rsidR="003C4DA6" w:rsidRPr="0027532E" w:rsidRDefault="003C4DA6" w:rsidP="0088788C">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Аннотация:</w:t>
      </w:r>
      <w:r w:rsidR="0027532E">
        <w:rPr>
          <w:rFonts w:ascii="Times New Roman" w:hAnsi="Times New Roman" w:cs="Times New Roman"/>
          <w:b/>
          <w:sz w:val="24"/>
          <w:szCs w:val="24"/>
        </w:rPr>
        <w:t xml:space="preserve"> </w:t>
      </w:r>
      <w:r w:rsidR="0027532E" w:rsidRPr="0027532E">
        <w:rPr>
          <w:rFonts w:ascii="Times New Roman" w:hAnsi="Times New Roman" w:cs="Times New Roman"/>
          <w:i/>
          <w:sz w:val="24"/>
          <w:szCs w:val="24"/>
        </w:rPr>
        <w:t xml:space="preserve">В настоящей статье раскрывается само понимание цифровой </w:t>
      </w:r>
      <w:proofErr w:type="gramStart"/>
      <w:r w:rsidR="0027532E" w:rsidRPr="0027532E">
        <w:rPr>
          <w:rFonts w:ascii="Times New Roman" w:hAnsi="Times New Roman" w:cs="Times New Roman"/>
          <w:i/>
          <w:sz w:val="24"/>
          <w:szCs w:val="24"/>
        </w:rPr>
        <w:t>экономики</w:t>
      </w:r>
      <w:proofErr w:type="gramEnd"/>
      <w:r w:rsidR="0027532E" w:rsidRPr="0027532E">
        <w:rPr>
          <w:rFonts w:ascii="Times New Roman" w:hAnsi="Times New Roman" w:cs="Times New Roman"/>
          <w:i/>
          <w:sz w:val="24"/>
          <w:szCs w:val="24"/>
        </w:rPr>
        <w:t xml:space="preserve"> как части современной промышленной деятельности многочисленных предприятий и организаций, а также рассматриваются тенденции развития отдельных видов производств в связи с инновациями и нововведениями, которые постепенно внедрялись в экономическую деятельность многих промышленных звеньев региона (в данном случае – Курска и Курской области). Это позволило помимо подробной оценки образа воздействия цифровой экономики на социально-экономическую жизнь региона в целом отметить тенденцию повышения или снижения эффективности производительности отдельных видов производств, что, в свою очередь, позволило оценить рентабельность экономической деятельности в масштабах исследуемого субъекта нашей страны.</w:t>
      </w:r>
    </w:p>
    <w:p w:rsidR="003C4DA6" w:rsidRDefault="003C4DA6" w:rsidP="0088788C">
      <w:pPr>
        <w:spacing w:after="0" w:line="240" w:lineRule="auto"/>
        <w:ind w:firstLine="709"/>
        <w:jc w:val="both"/>
        <w:rPr>
          <w:rFonts w:ascii="Times New Roman" w:hAnsi="Times New Roman" w:cs="Times New Roman"/>
          <w:b/>
          <w:i/>
          <w:sz w:val="24"/>
          <w:szCs w:val="24"/>
        </w:rPr>
      </w:pPr>
      <w:r>
        <w:rPr>
          <w:rFonts w:ascii="Times New Roman" w:hAnsi="Times New Roman" w:cs="Times New Roman"/>
          <w:b/>
          <w:sz w:val="24"/>
          <w:szCs w:val="24"/>
        </w:rPr>
        <w:t xml:space="preserve">Ключевые слова: </w:t>
      </w:r>
      <w:r w:rsidR="0027532E" w:rsidRPr="0027532E">
        <w:rPr>
          <w:rFonts w:ascii="Times New Roman" w:hAnsi="Times New Roman" w:cs="Times New Roman"/>
          <w:i/>
          <w:sz w:val="24"/>
          <w:szCs w:val="24"/>
        </w:rPr>
        <w:t>цифровая экономика, промышленность, Курская область, эффективность.</w:t>
      </w:r>
    </w:p>
    <w:p w:rsidR="0027532E" w:rsidRDefault="0027532E" w:rsidP="0088788C">
      <w:pPr>
        <w:spacing w:after="0" w:line="240" w:lineRule="auto"/>
        <w:ind w:firstLine="709"/>
        <w:jc w:val="both"/>
        <w:rPr>
          <w:rFonts w:ascii="Times New Roman" w:hAnsi="Times New Roman" w:cs="Times New Roman"/>
          <w:sz w:val="24"/>
          <w:szCs w:val="24"/>
        </w:rPr>
      </w:pPr>
    </w:p>
    <w:p w:rsidR="000B792C" w:rsidRDefault="000B792C" w:rsidP="0088788C">
      <w:pPr>
        <w:spacing w:after="0" w:line="240" w:lineRule="auto"/>
        <w:ind w:firstLine="709"/>
        <w:jc w:val="both"/>
        <w:rPr>
          <w:rFonts w:ascii="Times New Roman" w:hAnsi="Times New Roman" w:cs="Times New Roman"/>
          <w:sz w:val="24"/>
          <w:szCs w:val="24"/>
        </w:rPr>
      </w:pPr>
    </w:p>
    <w:p w:rsidR="0027532E" w:rsidRDefault="000B792C" w:rsidP="0088788C">
      <w:pPr>
        <w:spacing w:after="0" w:line="240" w:lineRule="auto"/>
        <w:ind w:firstLine="709"/>
        <w:jc w:val="both"/>
        <w:rPr>
          <w:rFonts w:ascii="Times New Roman" w:hAnsi="Times New Roman" w:cs="Times New Roman"/>
          <w:sz w:val="24"/>
          <w:szCs w:val="24"/>
        </w:rPr>
      </w:pPr>
      <w:r>
        <w:rPr>
          <w:noProof/>
          <w:lang w:eastAsia="ru-RU"/>
        </w:rPr>
        <w:drawing>
          <wp:inline distT="0" distB="0" distL="0" distR="0" wp14:anchorId="6E6570C7" wp14:editId="44A46F77">
            <wp:extent cx="5882640" cy="3497580"/>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27532E" w:rsidRDefault="00CF2ECE" w:rsidP="00CF2ECE">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 1. Принципы цифровой экономики</w:t>
      </w:r>
      <w:bookmarkStart w:id="0" w:name="_GoBack"/>
      <w:bookmarkEnd w:id="0"/>
    </w:p>
    <w:p w:rsidR="000B792C" w:rsidRDefault="000B792C" w:rsidP="000B792C">
      <w:pPr>
        <w:spacing w:after="0" w:line="240" w:lineRule="auto"/>
        <w:jc w:val="both"/>
        <w:rPr>
          <w:rFonts w:ascii="Times New Roman" w:hAnsi="Times New Roman" w:cs="Times New Roman"/>
          <w:sz w:val="24"/>
          <w:szCs w:val="24"/>
        </w:rPr>
      </w:pPr>
      <w:r>
        <w:rPr>
          <w:noProof/>
          <w:lang w:eastAsia="ru-RU"/>
        </w:rPr>
        <w:lastRenderedPageBreak/>
        <w:drawing>
          <wp:inline distT="0" distB="0" distL="0" distR="0" wp14:anchorId="23D2942A" wp14:editId="608AD4A4">
            <wp:extent cx="6141720" cy="3055620"/>
            <wp:effectExtent l="0" t="0" r="1143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B792C" w:rsidRDefault="000B792C" w:rsidP="000B792C">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 2. ВВП по региону и на душу населения</w:t>
      </w:r>
    </w:p>
    <w:p w:rsidR="000B792C" w:rsidRDefault="000B792C" w:rsidP="0027532E">
      <w:pPr>
        <w:spacing w:after="0" w:line="240" w:lineRule="auto"/>
        <w:ind w:firstLine="709"/>
        <w:jc w:val="center"/>
        <w:rPr>
          <w:rFonts w:ascii="Times New Roman" w:hAnsi="Times New Roman" w:cs="Times New Roman"/>
          <w:b/>
          <w:sz w:val="24"/>
          <w:szCs w:val="24"/>
        </w:rPr>
      </w:pPr>
    </w:p>
    <w:p w:rsidR="000B792C" w:rsidRDefault="000B792C" w:rsidP="000B792C">
      <w:pPr>
        <w:spacing w:after="0" w:line="240" w:lineRule="auto"/>
        <w:rPr>
          <w:rFonts w:ascii="Times New Roman" w:hAnsi="Times New Roman" w:cs="Times New Roman"/>
          <w:b/>
          <w:sz w:val="24"/>
          <w:szCs w:val="24"/>
        </w:rPr>
      </w:pPr>
      <w:r>
        <w:rPr>
          <w:noProof/>
          <w:lang w:eastAsia="ru-RU"/>
        </w:rPr>
        <w:drawing>
          <wp:inline distT="0" distB="0" distL="0" distR="0" wp14:anchorId="31B54024" wp14:editId="116A757B">
            <wp:extent cx="6141720" cy="2979420"/>
            <wp:effectExtent l="0" t="0" r="1143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B792C" w:rsidRDefault="000B792C" w:rsidP="0027532E">
      <w:pPr>
        <w:spacing w:after="0" w:line="240" w:lineRule="auto"/>
        <w:ind w:firstLine="709"/>
        <w:jc w:val="center"/>
        <w:rPr>
          <w:rFonts w:ascii="Times New Roman" w:hAnsi="Times New Roman" w:cs="Times New Roman"/>
          <w:sz w:val="24"/>
          <w:szCs w:val="24"/>
        </w:rPr>
      </w:pPr>
      <w:r w:rsidRPr="000B792C">
        <w:rPr>
          <w:rFonts w:ascii="Times New Roman" w:hAnsi="Times New Roman" w:cs="Times New Roman"/>
          <w:sz w:val="24"/>
          <w:szCs w:val="24"/>
        </w:rPr>
        <w:t xml:space="preserve">Рис. 3. </w:t>
      </w:r>
      <w:r>
        <w:rPr>
          <w:rFonts w:ascii="Times New Roman" w:hAnsi="Times New Roman" w:cs="Times New Roman"/>
          <w:sz w:val="24"/>
          <w:szCs w:val="24"/>
        </w:rPr>
        <w:t>Показатели занятости населения</w:t>
      </w:r>
    </w:p>
    <w:p w:rsidR="000B792C" w:rsidRDefault="000B792C" w:rsidP="0027532E">
      <w:pPr>
        <w:spacing w:after="0" w:line="240" w:lineRule="auto"/>
        <w:ind w:firstLine="709"/>
        <w:jc w:val="center"/>
        <w:rPr>
          <w:rFonts w:ascii="Times New Roman" w:hAnsi="Times New Roman" w:cs="Times New Roman"/>
          <w:sz w:val="24"/>
          <w:szCs w:val="24"/>
        </w:rPr>
      </w:pPr>
    </w:p>
    <w:p w:rsidR="000B792C" w:rsidRDefault="000B792C" w:rsidP="000B792C">
      <w:pPr>
        <w:spacing w:after="0" w:line="240" w:lineRule="auto"/>
        <w:rPr>
          <w:rFonts w:ascii="Times New Roman" w:hAnsi="Times New Roman" w:cs="Times New Roman"/>
          <w:sz w:val="24"/>
          <w:szCs w:val="24"/>
        </w:rPr>
      </w:pPr>
      <w:r>
        <w:rPr>
          <w:noProof/>
          <w:lang w:eastAsia="ru-RU"/>
        </w:rPr>
        <w:lastRenderedPageBreak/>
        <w:drawing>
          <wp:inline distT="0" distB="0" distL="0" distR="0" wp14:anchorId="1AA79A39" wp14:editId="2AD44BAF">
            <wp:extent cx="6111240" cy="2910840"/>
            <wp:effectExtent l="0" t="0" r="22860" b="2286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B792C" w:rsidRDefault="000B792C" w:rsidP="000B792C">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Рис.4. Показатели доходов и расходов населения</w:t>
      </w:r>
    </w:p>
    <w:p w:rsidR="000B792C" w:rsidRDefault="000B792C" w:rsidP="000B792C">
      <w:pPr>
        <w:spacing w:after="0" w:line="240" w:lineRule="auto"/>
        <w:ind w:firstLine="709"/>
        <w:jc w:val="center"/>
        <w:rPr>
          <w:rFonts w:ascii="Times New Roman" w:hAnsi="Times New Roman" w:cs="Times New Roman"/>
          <w:sz w:val="24"/>
          <w:szCs w:val="24"/>
        </w:rPr>
      </w:pPr>
    </w:p>
    <w:p w:rsidR="000B792C" w:rsidRPr="000B792C" w:rsidRDefault="000B792C" w:rsidP="000B792C">
      <w:pPr>
        <w:spacing w:after="0" w:line="240" w:lineRule="auto"/>
        <w:rPr>
          <w:rFonts w:ascii="Times New Roman" w:hAnsi="Times New Roman" w:cs="Times New Roman"/>
          <w:sz w:val="24"/>
          <w:szCs w:val="24"/>
        </w:rPr>
      </w:pPr>
      <w:r>
        <w:rPr>
          <w:noProof/>
          <w:lang w:eastAsia="ru-RU"/>
        </w:rPr>
        <w:drawing>
          <wp:inline distT="0" distB="0" distL="0" distR="0" wp14:anchorId="4BD90EC5" wp14:editId="611877BA">
            <wp:extent cx="6111240" cy="2849880"/>
            <wp:effectExtent l="0" t="0" r="22860" b="2667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B792C" w:rsidRPr="000B792C" w:rsidRDefault="000B792C" w:rsidP="0027532E">
      <w:pPr>
        <w:spacing w:after="0" w:line="240" w:lineRule="auto"/>
        <w:ind w:firstLine="709"/>
        <w:jc w:val="center"/>
        <w:rPr>
          <w:rFonts w:ascii="Times New Roman" w:hAnsi="Times New Roman" w:cs="Times New Roman"/>
          <w:sz w:val="24"/>
          <w:szCs w:val="24"/>
        </w:rPr>
      </w:pPr>
      <w:r w:rsidRPr="000B792C">
        <w:rPr>
          <w:rFonts w:ascii="Times New Roman" w:hAnsi="Times New Roman" w:cs="Times New Roman"/>
          <w:sz w:val="24"/>
          <w:szCs w:val="24"/>
        </w:rPr>
        <w:t>Рис. 5. Показатели базовых отраслей региона</w:t>
      </w:r>
    </w:p>
    <w:p w:rsidR="000B792C" w:rsidRDefault="000B792C" w:rsidP="0027532E">
      <w:pPr>
        <w:spacing w:after="0" w:line="240" w:lineRule="auto"/>
        <w:ind w:firstLine="709"/>
        <w:jc w:val="center"/>
        <w:rPr>
          <w:rFonts w:ascii="Times New Roman" w:hAnsi="Times New Roman" w:cs="Times New Roman"/>
          <w:b/>
          <w:sz w:val="24"/>
          <w:szCs w:val="24"/>
        </w:rPr>
      </w:pPr>
    </w:p>
    <w:p w:rsidR="000B792C" w:rsidRDefault="000B792C" w:rsidP="000B792C">
      <w:pPr>
        <w:spacing w:after="0" w:line="240" w:lineRule="auto"/>
        <w:rPr>
          <w:rFonts w:ascii="Times New Roman" w:hAnsi="Times New Roman" w:cs="Times New Roman"/>
          <w:b/>
          <w:sz w:val="24"/>
          <w:szCs w:val="24"/>
        </w:rPr>
      </w:pPr>
      <w:r>
        <w:rPr>
          <w:noProof/>
          <w:lang w:eastAsia="ru-RU"/>
        </w:rPr>
        <w:lastRenderedPageBreak/>
        <w:drawing>
          <wp:inline distT="0" distB="0" distL="0" distR="0" wp14:anchorId="6E02A249" wp14:editId="7618C985">
            <wp:extent cx="6088380" cy="2827020"/>
            <wp:effectExtent l="0" t="0" r="26670" b="1143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B792C" w:rsidRPr="000B792C" w:rsidRDefault="000B792C" w:rsidP="000B792C">
      <w:pPr>
        <w:spacing w:after="0" w:line="240" w:lineRule="auto"/>
        <w:jc w:val="center"/>
        <w:rPr>
          <w:rFonts w:ascii="Times New Roman" w:hAnsi="Times New Roman" w:cs="Times New Roman"/>
          <w:sz w:val="24"/>
          <w:szCs w:val="24"/>
        </w:rPr>
      </w:pPr>
      <w:r w:rsidRPr="000B792C">
        <w:rPr>
          <w:rFonts w:ascii="Times New Roman" w:hAnsi="Times New Roman" w:cs="Times New Roman"/>
          <w:sz w:val="24"/>
          <w:szCs w:val="24"/>
        </w:rPr>
        <w:t>Рис.6. Показатели видов промышленности в Курской области</w:t>
      </w:r>
    </w:p>
    <w:p w:rsidR="000B792C" w:rsidRDefault="000B792C" w:rsidP="000B792C">
      <w:pPr>
        <w:spacing w:after="0" w:line="240" w:lineRule="auto"/>
        <w:ind w:firstLine="709"/>
        <w:jc w:val="both"/>
        <w:rPr>
          <w:rFonts w:ascii="Times New Roman" w:hAnsi="Times New Roman" w:cs="Times New Roman"/>
          <w:b/>
          <w:sz w:val="24"/>
          <w:szCs w:val="24"/>
        </w:rPr>
      </w:pPr>
    </w:p>
    <w:p w:rsidR="000B792C" w:rsidRDefault="000B792C" w:rsidP="0027532E">
      <w:pPr>
        <w:spacing w:after="0" w:line="240" w:lineRule="auto"/>
        <w:ind w:firstLine="709"/>
        <w:jc w:val="center"/>
        <w:rPr>
          <w:rFonts w:ascii="Times New Roman" w:hAnsi="Times New Roman" w:cs="Times New Roman"/>
          <w:b/>
          <w:sz w:val="24"/>
          <w:szCs w:val="24"/>
        </w:rPr>
      </w:pPr>
    </w:p>
    <w:p w:rsidR="0027532E" w:rsidRPr="0027532E" w:rsidRDefault="0027532E" w:rsidP="0027532E">
      <w:pPr>
        <w:spacing w:after="0" w:line="240" w:lineRule="auto"/>
        <w:ind w:firstLine="709"/>
        <w:jc w:val="center"/>
        <w:rPr>
          <w:rFonts w:ascii="Times New Roman" w:hAnsi="Times New Roman" w:cs="Times New Roman"/>
          <w:b/>
          <w:sz w:val="24"/>
          <w:szCs w:val="24"/>
        </w:rPr>
      </w:pPr>
      <w:r w:rsidRPr="0027532E">
        <w:rPr>
          <w:rFonts w:ascii="Times New Roman" w:hAnsi="Times New Roman" w:cs="Times New Roman"/>
          <w:b/>
          <w:sz w:val="24"/>
          <w:szCs w:val="24"/>
        </w:rPr>
        <w:t>Информация об авторах:</w:t>
      </w:r>
    </w:p>
    <w:p w:rsidR="0027532E" w:rsidRPr="0055711E" w:rsidRDefault="0027532E" w:rsidP="0088788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Клевцов Сергей Михайлович (Россия, Курск) – кандидат экономических наук, старший преподаватель кафедры бухгалтерского учета, финансов и налогообложения, Курский институт кооперации (филиал АНО </w:t>
      </w:r>
      <w:proofErr w:type="gramStart"/>
      <w:r>
        <w:rPr>
          <w:rFonts w:ascii="Times New Roman" w:hAnsi="Times New Roman" w:cs="Times New Roman"/>
          <w:sz w:val="24"/>
          <w:szCs w:val="24"/>
        </w:rPr>
        <w:t>ВО</w:t>
      </w:r>
      <w:proofErr w:type="gramEnd"/>
      <w:r>
        <w:rPr>
          <w:rFonts w:ascii="Times New Roman" w:hAnsi="Times New Roman" w:cs="Times New Roman"/>
          <w:sz w:val="24"/>
          <w:szCs w:val="24"/>
        </w:rPr>
        <w:t xml:space="preserve"> «Белгородского университета кооперации, экономики и права»)</w:t>
      </w:r>
      <w:r w:rsidR="0055711E">
        <w:rPr>
          <w:rFonts w:ascii="Times New Roman" w:hAnsi="Times New Roman" w:cs="Times New Roman"/>
          <w:sz w:val="24"/>
          <w:szCs w:val="24"/>
        </w:rPr>
        <w:t>,</w:t>
      </w:r>
      <w:r w:rsidR="0055711E" w:rsidRPr="0055711E">
        <w:rPr>
          <w:rFonts w:ascii="Times New Roman" w:hAnsi="Times New Roman" w:cs="Times New Roman"/>
          <w:sz w:val="24"/>
          <w:szCs w:val="24"/>
        </w:rPr>
        <w:t xml:space="preserve"> </w:t>
      </w:r>
      <w:proofErr w:type="spellStart"/>
      <w:r w:rsidR="0055711E">
        <w:rPr>
          <w:rFonts w:ascii="Times New Roman" w:hAnsi="Times New Roman" w:cs="Times New Roman"/>
          <w:sz w:val="24"/>
          <w:szCs w:val="24"/>
          <w:lang w:val="en-US"/>
        </w:rPr>
        <w:t>klevtsovserg</w:t>
      </w:r>
      <w:proofErr w:type="spellEnd"/>
      <w:r w:rsidR="0055711E" w:rsidRPr="0055711E">
        <w:rPr>
          <w:rFonts w:ascii="Times New Roman" w:hAnsi="Times New Roman" w:cs="Times New Roman"/>
          <w:sz w:val="24"/>
          <w:szCs w:val="24"/>
        </w:rPr>
        <w:t>@</w:t>
      </w:r>
      <w:proofErr w:type="spellStart"/>
      <w:r w:rsidR="0055711E">
        <w:rPr>
          <w:rFonts w:ascii="Times New Roman" w:hAnsi="Times New Roman" w:cs="Times New Roman"/>
          <w:sz w:val="24"/>
          <w:szCs w:val="24"/>
          <w:lang w:val="en-US"/>
        </w:rPr>
        <w:t>yandex</w:t>
      </w:r>
      <w:proofErr w:type="spellEnd"/>
      <w:r w:rsidR="0055711E" w:rsidRPr="0055711E">
        <w:rPr>
          <w:rFonts w:ascii="Times New Roman" w:hAnsi="Times New Roman" w:cs="Times New Roman"/>
          <w:sz w:val="24"/>
          <w:szCs w:val="24"/>
        </w:rPr>
        <w:t>.</w:t>
      </w:r>
      <w:r w:rsidR="0055711E">
        <w:rPr>
          <w:rFonts w:ascii="Times New Roman" w:hAnsi="Times New Roman" w:cs="Times New Roman"/>
          <w:sz w:val="24"/>
          <w:szCs w:val="24"/>
          <w:lang w:val="en-US"/>
        </w:rPr>
        <w:t>ru</w:t>
      </w:r>
      <w:r w:rsidR="0055711E">
        <w:rPr>
          <w:rFonts w:ascii="Times New Roman" w:hAnsi="Times New Roman" w:cs="Times New Roman"/>
          <w:sz w:val="24"/>
          <w:szCs w:val="24"/>
        </w:rPr>
        <w:t>.</w:t>
      </w:r>
    </w:p>
    <w:p w:rsidR="0055711E" w:rsidRDefault="0055711E" w:rsidP="0088788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Тевяшова Александра Сергеевна (Россия, Курск) – студент, </w:t>
      </w:r>
      <w:r>
        <w:rPr>
          <w:rFonts w:ascii="Times New Roman" w:hAnsi="Times New Roman" w:cs="Times New Roman"/>
          <w:sz w:val="24"/>
          <w:szCs w:val="24"/>
        </w:rPr>
        <w:t xml:space="preserve">Курский институт </w:t>
      </w:r>
      <w:r w:rsidRPr="0055711E">
        <w:rPr>
          <w:rFonts w:ascii="Times New Roman" w:hAnsi="Times New Roman" w:cs="Times New Roman"/>
          <w:sz w:val="24"/>
          <w:szCs w:val="24"/>
        </w:rPr>
        <w:t xml:space="preserve">кооперации (филиал АНО </w:t>
      </w:r>
      <w:proofErr w:type="gramStart"/>
      <w:r w:rsidRPr="0055711E">
        <w:rPr>
          <w:rFonts w:ascii="Times New Roman" w:hAnsi="Times New Roman" w:cs="Times New Roman"/>
          <w:sz w:val="24"/>
          <w:szCs w:val="24"/>
        </w:rPr>
        <w:t>ВО</w:t>
      </w:r>
      <w:proofErr w:type="gramEnd"/>
      <w:r w:rsidRPr="0055711E">
        <w:rPr>
          <w:rFonts w:ascii="Times New Roman" w:hAnsi="Times New Roman" w:cs="Times New Roman"/>
          <w:sz w:val="24"/>
          <w:szCs w:val="24"/>
        </w:rPr>
        <w:t xml:space="preserve"> «Белгородского университета кооперации, экономики и права»)</w:t>
      </w:r>
      <w:r w:rsidRPr="0055711E">
        <w:rPr>
          <w:rFonts w:ascii="Times New Roman" w:hAnsi="Times New Roman" w:cs="Times New Roman"/>
          <w:sz w:val="24"/>
          <w:szCs w:val="24"/>
        </w:rPr>
        <w:t xml:space="preserve">, </w:t>
      </w:r>
      <w:hyperlink r:id="rId15" w:history="1">
        <w:r w:rsidRPr="0055711E">
          <w:rPr>
            <w:rStyle w:val="a3"/>
            <w:rFonts w:ascii="Times New Roman" w:hAnsi="Times New Roman" w:cs="Times New Roman"/>
            <w:color w:val="auto"/>
            <w:sz w:val="24"/>
            <w:szCs w:val="24"/>
            <w:u w:val="none"/>
            <w:lang w:val="en-US"/>
          </w:rPr>
          <w:t>madwriter</w:t>
        </w:r>
        <w:r w:rsidRPr="0055711E">
          <w:rPr>
            <w:rStyle w:val="a3"/>
            <w:rFonts w:ascii="Times New Roman" w:hAnsi="Times New Roman" w:cs="Times New Roman"/>
            <w:color w:val="auto"/>
            <w:sz w:val="24"/>
            <w:szCs w:val="24"/>
            <w:u w:val="none"/>
          </w:rPr>
          <w:t>97@</w:t>
        </w:r>
        <w:r w:rsidRPr="0055711E">
          <w:rPr>
            <w:rStyle w:val="a3"/>
            <w:rFonts w:ascii="Times New Roman" w:hAnsi="Times New Roman" w:cs="Times New Roman"/>
            <w:color w:val="auto"/>
            <w:sz w:val="24"/>
            <w:szCs w:val="24"/>
            <w:u w:val="none"/>
            <w:lang w:val="en-US"/>
          </w:rPr>
          <w:t>yandex</w:t>
        </w:r>
        <w:r w:rsidRPr="0055711E">
          <w:rPr>
            <w:rStyle w:val="a3"/>
            <w:rFonts w:ascii="Times New Roman" w:hAnsi="Times New Roman" w:cs="Times New Roman"/>
            <w:color w:val="auto"/>
            <w:sz w:val="24"/>
            <w:szCs w:val="24"/>
            <w:u w:val="none"/>
          </w:rPr>
          <w:t>.</w:t>
        </w:r>
        <w:r w:rsidRPr="0055711E">
          <w:rPr>
            <w:rStyle w:val="a3"/>
            <w:rFonts w:ascii="Times New Roman" w:hAnsi="Times New Roman" w:cs="Times New Roman"/>
            <w:color w:val="auto"/>
            <w:sz w:val="24"/>
            <w:szCs w:val="24"/>
            <w:u w:val="none"/>
            <w:lang w:val="en-US"/>
          </w:rPr>
          <w:t>ru</w:t>
        </w:r>
      </w:hyperlink>
      <w:r w:rsidRPr="0055711E">
        <w:rPr>
          <w:rFonts w:ascii="Times New Roman" w:hAnsi="Times New Roman" w:cs="Times New Roman"/>
          <w:sz w:val="24"/>
          <w:szCs w:val="24"/>
        </w:rPr>
        <w:t>.</w:t>
      </w:r>
    </w:p>
    <w:p w:rsidR="0055711E" w:rsidRDefault="0055711E" w:rsidP="0088788C">
      <w:pPr>
        <w:spacing w:after="0" w:line="240" w:lineRule="auto"/>
        <w:ind w:firstLine="709"/>
        <w:jc w:val="both"/>
        <w:rPr>
          <w:rFonts w:ascii="Times New Roman" w:hAnsi="Times New Roman" w:cs="Times New Roman"/>
          <w:sz w:val="24"/>
          <w:szCs w:val="24"/>
        </w:rPr>
      </w:pPr>
    </w:p>
    <w:p w:rsidR="0055711E" w:rsidRPr="0055711E" w:rsidRDefault="0055711E" w:rsidP="0055711E">
      <w:pPr>
        <w:spacing w:after="0" w:line="240" w:lineRule="auto"/>
        <w:ind w:firstLine="709"/>
        <w:jc w:val="right"/>
        <w:rPr>
          <w:rFonts w:ascii="Times New Roman" w:hAnsi="Times New Roman" w:cs="Times New Roman"/>
          <w:sz w:val="24"/>
          <w:szCs w:val="24"/>
          <w:lang w:val="en-US"/>
        </w:rPr>
      </w:pPr>
      <w:proofErr w:type="spellStart"/>
      <w:r w:rsidRPr="0055711E">
        <w:rPr>
          <w:rFonts w:ascii="Times New Roman" w:hAnsi="Times New Roman" w:cs="Times New Roman"/>
          <w:sz w:val="24"/>
          <w:szCs w:val="24"/>
          <w:lang w:val="en-US"/>
        </w:rPr>
        <w:t>Klevtsov</w:t>
      </w:r>
      <w:proofErr w:type="spellEnd"/>
      <w:r w:rsidRPr="0055711E">
        <w:rPr>
          <w:rFonts w:ascii="Times New Roman" w:hAnsi="Times New Roman" w:cs="Times New Roman"/>
          <w:sz w:val="24"/>
          <w:szCs w:val="24"/>
          <w:lang w:val="en-US"/>
        </w:rPr>
        <w:t xml:space="preserve"> S., </w:t>
      </w:r>
      <w:r>
        <w:rPr>
          <w:rFonts w:ascii="Times New Roman" w:hAnsi="Times New Roman" w:cs="Times New Roman"/>
          <w:sz w:val="24"/>
          <w:szCs w:val="24"/>
        </w:rPr>
        <w:t>Т</w:t>
      </w:r>
      <w:proofErr w:type="spellStart"/>
      <w:r w:rsidRPr="0055711E">
        <w:rPr>
          <w:rFonts w:ascii="Times New Roman" w:hAnsi="Times New Roman" w:cs="Times New Roman"/>
          <w:sz w:val="24"/>
          <w:szCs w:val="24"/>
          <w:lang w:val="en-US"/>
        </w:rPr>
        <w:t>ev</w:t>
      </w:r>
      <w:proofErr w:type="spellEnd"/>
      <w:r>
        <w:rPr>
          <w:rFonts w:ascii="Times New Roman" w:hAnsi="Times New Roman" w:cs="Times New Roman"/>
          <w:sz w:val="24"/>
          <w:szCs w:val="24"/>
        </w:rPr>
        <w:t>у</w:t>
      </w:r>
      <w:proofErr w:type="spellStart"/>
      <w:r w:rsidRPr="0055711E">
        <w:rPr>
          <w:rFonts w:ascii="Times New Roman" w:hAnsi="Times New Roman" w:cs="Times New Roman"/>
          <w:sz w:val="24"/>
          <w:szCs w:val="24"/>
          <w:lang w:val="en-US"/>
        </w:rPr>
        <w:t>ashova</w:t>
      </w:r>
      <w:proofErr w:type="spellEnd"/>
      <w:r w:rsidRPr="0055711E">
        <w:rPr>
          <w:rFonts w:ascii="Times New Roman" w:hAnsi="Times New Roman" w:cs="Times New Roman"/>
          <w:sz w:val="24"/>
          <w:szCs w:val="24"/>
          <w:lang w:val="en-US"/>
        </w:rPr>
        <w:t xml:space="preserve"> </w:t>
      </w:r>
      <w:r w:rsidRPr="0055711E">
        <w:rPr>
          <w:rFonts w:ascii="Times New Roman" w:hAnsi="Times New Roman" w:cs="Times New Roman"/>
          <w:sz w:val="24"/>
          <w:szCs w:val="24"/>
          <w:lang w:val="en-US"/>
        </w:rPr>
        <w:t>A.</w:t>
      </w:r>
    </w:p>
    <w:p w:rsidR="0055711E" w:rsidRPr="0055711E" w:rsidRDefault="0055711E" w:rsidP="0055711E">
      <w:pPr>
        <w:spacing w:after="0" w:line="240" w:lineRule="auto"/>
        <w:ind w:firstLine="709"/>
        <w:jc w:val="both"/>
        <w:rPr>
          <w:rFonts w:ascii="Times New Roman" w:hAnsi="Times New Roman" w:cs="Times New Roman"/>
          <w:sz w:val="24"/>
          <w:szCs w:val="24"/>
          <w:lang w:val="en-US"/>
        </w:rPr>
      </w:pPr>
    </w:p>
    <w:p w:rsidR="0055711E" w:rsidRPr="0055711E" w:rsidRDefault="0055711E" w:rsidP="0055711E">
      <w:pPr>
        <w:spacing w:after="0" w:line="240" w:lineRule="auto"/>
        <w:jc w:val="center"/>
        <w:rPr>
          <w:rFonts w:ascii="Times New Roman" w:hAnsi="Times New Roman" w:cs="Times New Roman"/>
          <w:b/>
          <w:sz w:val="24"/>
          <w:szCs w:val="24"/>
          <w:lang w:val="en-US"/>
        </w:rPr>
      </w:pPr>
      <w:r w:rsidRPr="0055711E">
        <w:rPr>
          <w:rFonts w:ascii="Times New Roman" w:hAnsi="Times New Roman" w:cs="Times New Roman"/>
          <w:b/>
          <w:sz w:val="24"/>
          <w:szCs w:val="24"/>
          <w:lang w:val="en-US"/>
        </w:rPr>
        <w:t>THE IMPACT OF DIGITAL ECONOMY ON THE DEVELOPMENT OF SOCIO-ECONOMIC PRODUCTION OF REGION (ON EXAMPLE OF KURSK REGION)</w:t>
      </w:r>
    </w:p>
    <w:p w:rsidR="0055711E" w:rsidRPr="0055711E" w:rsidRDefault="0055711E" w:rsidP="0055711E">
      <w:pPr>
        <w:spacing w:after="0" w:line="240" w:lineRule="auto"/>
        <w:ind w:firstLine="709"/>
        <w:jc w:val="both"/>
        <w:rPr>
          <w:rFonts w:ascii="Times New Roman" w:hAnsi="Times New Roman" w:cs="Times New Roman"/>
          <w:sz w:val="24"/>
          <w:szCs w:val="24"/>
          <w:lang w:val="en-US"/>
        </w:rPr>
      </w:pPr>
    </w:p>
    <w:p w:rsidR="0055711E" w:rsidRPr="0055711E" w:rsidRDefault="0055711E" w:rsidP="0055711E">
      <w:pPr>
        <w:spacing w:after="0" w:line="240" w:lineRule="auto"/>
        <w:ind w:firstLine="709"/>
        <w:jc w:val="both"/>
        <w:rPr>
          <w:rFonts w:ascii="Times New Roman" w:hAnsi="Times New Roman" w:cs="Times New Roman"/>
          <w:i/>
          <w:sz w:val="24"/>
          <w:szCs w:val="24"/>
          <w:lang w:val="en-US"/>
        </w:rPr>
      </w:pPr>
      <w:r w:rsidRPr="0055711E">
        <w:rPr>
          <w:rFonts w:ascii="Times New Roman" w:hAnsi="Times New Roman" w:cs="Times New Roman"/>
          <w:sz w:val="24"/>
          <w:szCs w:val="24"/>
          <w:lang w:val="en-US"/>
        </w:rPr>
        <w:t xml:space="preserve">Abstract: </w:t>
      </w:r>
      <w:r w:rsidRPr="0055711E">
        <w:rPr>
          <w:rFonts w:ascii="Times New Roman" w:hAnsi="Times New Roman" w:cs="Times New Roman"/>
          <w:i/>
          <w:sz w:val="24"/>
          <w:szCs w:val="24"/>
          <w:lang w:val="en-US"/>
        </w:rPr>
        <w:t>this article reveals the very understanding of the digital economy as part of the modern industrial activity of numerous enterprises and organizations, as well as the development trends of certain types of production in connection with innovations and innovations that have gradually been introduced into the economic activity of many industrial units of the region (in this case – Kursk and Kursk region). This allowed in addition to a detailed assessment of the image of the digital economy on the socio-economic life of the region as a whole to note the trend of increasing or decreasing the efficiency of certain types of production, which, in turn, allowed to assess the profitability of economic activity on the scale of the studied subject of our country.</w:t>
      </w:r>
    </w:p>
    <w:p w:rsidR="0055711E" w:rsidRDefault="0055711E" w:rsidP="0055711E">
      <w:pPr>
        <w:spacing w:after="0" w:line="240" w:lineRule="auto"/>
        <w:ind w:firstLine="709"/>
        <w:jc w:val="both"/>
        <w:rPr>
          <w:rFonts w:ascii="Times New Roman" w:hAnsi="Times New Roman" w:cs="Times New Roman"/>
          <w:i/>
          <w:sz w:val="24"/>
          <w:szCs w:val="24"/>
        </w:rPr>
      </w:pPr>
      <w:r w:rsidRPr="0055711E">
        <w:rPr>
          <w:rFonts w:ascii="Times New Roman" w:hAnsi="Times New Roman" w:cs="Times New Roman"/>
          <w:sz w:val="24"/>
          <w:szCs w:val="24"/>
          <w:lang w:val="en-US"/>
        </w:rPr>
        <w:t xml:space="preserve">Key words: </w:t>
      </w:r>
      <w:r w:rsidRPr="0055711E">
        <w:rPr>
          <w:rFonts w:ascii="Times New Roman" w:hAnsi="Times New Roman" w:cs="Times New Roman"/>
          <w:i/>
          <w:sz w:val="24"/>
          <w:szCs w:val="24"/>
          <w:lang w:val="en-US"/>
        </w:rPr>
        <w:t>digital economy, industry, Kursk region, efficiency.</w:t>
      </w:r>
    </w:p>
    <w:p w:rsidR="0055711E" w:rsidRDefault="0055711E" w:rsidP="0055711E">
      <w:pPr>
        <w:spacing w:after="0" w:line="240" w:lineRule="auto"/>
        <w:ind w:firstLine="709"/>
        <w:jc w:val="both"/>
        <w:rPr>
          <w:rFonts w:ascii="Times New Roman" w:hAnsi="Times New Roman" w:cs="Times New Roman"/>
          <w:i/>
          <w:sz w:val="24"/>
          <w:szCs w:val="24"/>
        </w:rPr>
      </w:pPr>
    </w:p>
    <w:p w:rsidR="0055711E" w:rsidRPr="0055711E" w:rsidRDefault="0055711E" w:rsidP="0055711E">
      <w:pPr>
        <w:spacing w:after="0" w:line="240" w:lineRule="auto"/>
        <w:ind w:firstLine="709"/>
        <w:jc w:val="center"/>
        <w:rPr>
          <w:rFonts w:ascii="Times New Roman" w:hAnsi="Times New Roman" w:cs="Times New Roman"/>
          <w:b/>
          <w:sz w:val="24"/>
          <w:szCs w:val="24"/>
          <w:lang w:val="en-US"/>
        </w:rPr>
      </w:pPr>
      <w:r w:rsidRPr="0055711E">
        <w:rPr>
          <w:rFonts w:ascii="Times New Roman" w:hAnsi="Times New Roman" w:cs="Times New Roman"/>
          <w:b/>
          <w:sz w:val="24"/>
          <w:szCs w:val="24"/>
          <w:lang w:val="en-US"/>
        </w:rPr>
        <w:t>Author information:</w:t>
      </w:r>
    </w:p>
    <w:p w:rsidR="0055711E" w:rsidRPr="0055711E" w:rsidRDefault="0055711E" w:rsidP="0055711E">
      <w:pPr>
        <w:spacing w:after="0" w:line="240" w:lineRule="auto"/>
        <w:ind w:firstLine="709"/>
        <w:jc w:val="both"/>
        <w:rPr>
          <w:rFonts w:ascii="Times New Roman" w:hAnsi="Times New Roman" w:cs="Times New Roman"/>
          <w:sz w:val="24"/>
          <w:szCs w:val="24"/>
          <w:lang w:val="en-US"/>
        </w:rPr>
      </w:pPr>
      <w:proofErr w:type="spellStart"/>
      <w:r w:rsidRPr="0055711E">
        <w:rPr>
          <w:rFonts w:ascii="Times New Roman" w:hAnsi="Times New Roman" w:cs="Times New Roman"/>
          <w:sz w:val="24"/>
          <w:szCs w:val="24"/>
          <w:lang w:val="en-US"/>
        </w:rPr>
        <w:t>Klevtsov</w:t>
      </w:r>
      <w:proofErr w:type="spellEnd"/>
      <w:r w:rsidRPr="0055711E">
        <w:rPr>
          <w:rFonts w:ascii="Times New Roman" w:hAnsi="Times New Roman" w:cs="Times New Roman"/>
          <w:sz w:val="24"/>
          <w:szCs w:val="24"/>
          <w:lang w:val="en-US"/>
        </w:rPr>
        <w:t xml:space="preserve"> Sergey (Russia, Kursk) - candidate of economic Sciences, senior lecturer of the Department of accounting, Finance and taxation, Kursk Institute of cooperation (branch of the ANO "Belgorod University of cooperation, Economics and law"), klevtsovserg@yandex.ru Oh?</w:t>
      </w:r>
    </w:p>
    <w:p w:rsidR="0055711E" w:rsidRPr="0055711E" w:rsidRDefault="0055711E" w:rsidP="0055711E">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Alexander </w:t>
      </w:r>
      <w:r>
        <w:rPr>
          <w:rFonts w:ascii="Times New Roman" w:hAnsi="Times New Roman" w:cs="Times New Roman"/>
          <w:sz w:val="24"/>
          <w:szCs w:val="24"/>
        </w:rPr>
        <w:t>Т</w:t>
      </w:r>
      <w:proofErr w:type="spellStart"/>
      <w:r w:rsidRPr="0055711E">
        <w:rPr>
          <w:rFonts w:ascii="Times New Roman" w:hAnsi="Times New Roman" w:cs="Times New Roman"/>
          <w:sz w:val="24"/>
          <w:szCs w:val="24"/>
          <w:lang w:val="en-US"/>
        </w:rPr>
        <w:t>evyashova</w:t>
      </w:r>
      <w:proofErr w:type="spellEnd"/>
      <w:r w:rsidRPr="0055711E">
        <w:rPr>
          <w:rFonts w:ascii="Times New Roman" w:hAnsi="Times New Roman" w:cs="Times New Roman"/>
          <w:sz w:val="24"/>
          <w:szCs w:val="24"/>
          <w:lang w:val="en-US"/>
        </w:rPr>
        <w:t xml:space="preserve"> (Russia, Kursk) - student, Kursk Institute of cooperation (branch of ANO VO "Belgorod University of cooperation, Economics and law"), madwriter97@yandex.ru</w:t>
      </w:r>
    </w:p>
    <w:sectPr w:rsidR="0055711E" w:rsidRPr="0055711E" w:rsidSect="003C4DA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DC3"/>
    <w:rsid w:val="000B792C"/>
    <w:rsid w:val="0027532E"/>
    <w:rsid w:val="003C4DA6"/>
    <w:rsid w:val="0055711E"/>
    <w:rsid w:val="0088788C"/>
    <w:rsid w:val="00B22DC3"/>
    <w:rsid w:val="00C87129"/>
    <w:rsid w:val="00CF2E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5711E"/>
    <w:rPr>
      <w:color w:val="0000FF" w:themeColor="hyperlink"/>
      <w:u w:val="single"/>
    </w:rPr>
  </w:style>
  <w:style w:type="paragraph" w:styleId="a4">
    <w:name w:val="Balloon Text"/>
    <w:basedOn w:val="a"/>
    <w:link w:val="a5"/>
    <w:uiPriority w:val="99"/>
    <w:semiHidden/>
    <w:unhideWhenUsed/>
    <w:rsid w:val="000B792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B792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5711E"/>
    <w:rPr>
      <w:color w:val="0000FF" w:themeColor="hyperlink"/>
      <w:u w:val="single"/>
    </w:rPr>
  </w:style>
  <w:style w:type="paragraph" w:styleId="a4">
    <w:name w:val="Balloon Text"/>
    <w:basedOn w:val="a"/>
    <w:link w:val="a5"/>
    <w:uiPriority w:val="99"/>
    <w:semiHidden/>
    <w:unhideWhenUsed/>
    <w:rsid w:val="000B792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B792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4084706">
      <w:bodyDiv w:val="1"/>
      <w:marLeft w:val="0"/>
      <w:marRight w:val="0"/>
      <w:marTop w:val="0"/>
      <w:marBottom w:val="0"/>
      <w:divBdr>
        <w:top w:val="none" w:sz="0" w:space="0" w:color="auto"/>
        <w:left w:val="none" w:sz="0" w:space="0" w:color="auto"/>
        <w:bottom w:val="none" w:sz="0" w:space="0" w:color="auto"/>
        <w:right w:val="none" w:sz="0" w:space="0" w:color="auto"/>
      </w:divBdr>
      <w:divsChild>
        <w:div w:id="60715379">
          <w:marLeft w:val="0"/>
          <w:marRight w:val="0"/>
          <w:marTop w:val="0"/>
          <w:marBottom w:val="0"/>
          <w:divBdr>
            <w:top w:val="none" w:sz="0" w:space="0" w:color="auto"/>
            <w:left w:val="none" w:sz="0" w:space="0" w:color="auto"/>
            <w:bottom w:val="none" w:sz="0" w:space="0" w:color="auto"/>
            <w:right w:val="none" w:sz="0" w:space="0" w:color="auto"/>
          </w:divBdr>
          <w:divsChild>
            <w:div w:id="466317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chart" Target="charts/chart3.xm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diagramLayout" Target="diagrams/layout1.xml"/><Relationship Id="rId11" Type="http://schemas.openxmlformats.org/officeDocument/2006/relationships/chart" Target="charts/chart2.xml"/><Relationship Id="rId5" Type="http://schemas.openxmlformats.org/officeDocument/2006/relationships/diagramData" Target="diagrams/data1.xml"/><Relationship Id="rId15" Type="http://schemas.openxmlformats.org/officeDocument/2006/relationships/hyperlink" Target="mailto:madwriter97@yandex.ru" TargetMode="External"/><Relationship Id="rId10" Type="http://schemas.openxmlformats.org/officeDocument/2006/relationships/chart" Target="charts/chart1.xml"/><Relationship Id="rId4" Type="http://schemas.openxmlformats.org/officeDocument/2006/relationships/webSettings" Target="webSettings.xml"/><Relationship Id="rId9" Type="http://schemas.microsoft.com/office/2007/relationships/diagramDrawing" Target="diagrams/drawing1.xm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4;&#1083;&#1100;&#1075;&#1072;\Desktop\&#1074;&#1074;&#108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4;&#1083;&#1100;&#1075;&#1072;\Desktop\&#1088;&#1072;&#1073;&#1086;&#1090;&#107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54;&#1083;&#1100;&#1075;&#1072;\Desktop\&#1085;&#1072;&#1089;&#1077;&#1083;&#1077;&#1085;&#1080;&#1077;%20&#1088;&#1072;&#1089;&#1093;&#1087;&#1076;&#1086;&#109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54;&#1083;&#1100;&#1075;&#1072;\Desktop\&#1048;&#1085;&#1076;&#1077;&#1082;&#1089;&#1099;.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54;&#1083;&#1100;&#1075;&#1072;\Desktop\&#1080;&#1085;&#1076;&#1077;&#1082;&#1089;&#1090;&#107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bar3DChart>
        <c:barDir val="col"/>
        <c:grouping val="clustered"/>
        <c:varyColors val="0"/>
        <c:ser>
          <c:idx val="0"/>
          <c:order val="0"/>
          <c:tx>
            <c:strRef>
              <c:f>Лист1!$A$2</c:f>
              <c:strCache>
                <c:ptCount val="1"/>
                <c:pt idx="0">
                  <c:v>ВВП</c:v>
                </c:pt>
              </c:strCache>
            </c:strRef>
          </c:tx>
          <c:invertIfNegative val="0"/>
          <c:dLbls>
            <c:showLegendKey val="0"/>
            <c:showVal val="1"/>
            <c:showCatName val="0"/>
            <c:showSerName val="0"/>
            <c:showPercent val="0"/>
            <c:showBubbleSize val="0"/>
            <c:showLeaderLines val="0"/>
          </c:dLbls>
          <c:cat>
            <c:numRef>
              <c:f>Лист1!$B$1:$C$1</c:f>
              <c:numCache>
                <c:formatCode>General</c:formatCode>
                <c:ptCount val="2"/>
                <c:pt idx="0">
                  <c:v>2013</c:v>
                </c:pt>
                <c:pt idx="1">
                  <c:v>2017</c:v>
                </c:pt>
              </c:numCache>
            </c:numRef>
          </c:cat>
          <c:val>
            <c:numRef>
              <c:f>Лист1!$B$2:$C$2</c:f>
              <c:numCache>
                <c:formatCode>General</c:formatCode>
                <c:ptCount val="2"/>
                <c:pt idx="0">
                  <c:v>271542</c:v>
                </c:pt>
                <c:pt idx="1">
                  <c:v>364601</c:v>
                </c:pt>
              </c:numCache>
            </c:numRef>
          </c:val>
        </c:ser>
        <c:ser>
          <c:idx val="1"/>
          <c:order val="1"/>
          <c:tx>
            <c:strRef>
              <c:f>Лист1!$A$3</c:f>
              <c:strCache>
                <c:ptCount val="1"/>
                <c:pt idx="0">
                  <c:v>ВВП на душу населения</c:v>
                </c:pt>
              </c:strCache>
            </c:strRef>
          </c:tx>
          <c:invertIfNegative val="0"/>
          <c:dLbls>
            <c:showLegendKey val="0"/>
            <c:showVal val="1"/>
            <c:showCatName val="0"/>
            <c:showSerName val="0"/>
            <c:showPercent val="0"/>
            <c:showBubbleSize val="0"/>
            <c:showLeaderLines val="0"/>
          </c:dLbls>
          <c:cat>
            <c:numRef>
              <c:f>Лист1!$B$1:$C$1</c:f>
              <c:numCache>
                <c:formatCode>General</c:formatCode>
                <c:ptCount val="2"/>
                <c:pt idx="0">
                  <c:v>2013</c:v>
                </c:pt>
                <c:pt idx="1">
                  <c:v>2017</c:v>
                </c:pt>
              </c:numCache>
            </c:numRef>
          </c:cat>
          <c:val>
            <c:numRef>
              <c:f>Лист1!$B$3:$C$3</c:f>
              <c:numCache>
                <c:formatCode>General</c:formatCode>
                <c:ptCount val="2"/>
                <c:pt idx="0">
                  <c:v>221537</c:v>
                </c:pt>
                <c:pt idx="1">
                  <c:v>325114</c:v>
                </c:pt>
              </c:numCache>
            </c:numRef>
          </c:val>
        </c:ser>
        <c:dLbls>
          <c:showLegendKey val="0"/>
          <c:showVal val="0"/>
          <c:showCatName val="0"/>
          <c:showSerName val="0"/>
          <c:showPercent val="0"/>
          <c:showBubbleSize val="0"/>
        </c:dLbls>
        <c:gapWidth val="150"/>
        <c:shape val="cylinder"/>
        <c:axId val="190137856"/>
        <c:axId val="161162944"/>
        <c:axId val="0"/>
      </c:bar3DChart>
      <c:catAx>
        <c:axId val="190137856"/>
        <c:scaling>
          <c:orientation val="minMax"/>
        </c:scaling>
        <c:delete val="0"/>
        <c:axPos val="b"/>
        <c:numFmt formatCode="General" sourceLinked="1"/>
        <c:majorTickMark val="out"/>
        <c:minorTickMark val="none"/>
        <c:tickLblPos val="nextTo"/>
        <c:crossAx val="161162944"/>
        <c:crosses val="autoZero"/>
        <c:auto val="1"/>
        <c:lblAlgn val="ctr"/>
        <c:lblOffset val="100"/>
        <c:noMultiLvlLbl val="0"/>
      </c:catAx>
      <c:valAx>
        <c:axId val="161162944"/>
        <c:scaling>
          <c:orientation val="minMax"/>
        </c:scaling>
        <c:delete val="0"/>
        <c:axPos val="l"/>
        <c:majorGridlines/>
        <c:numFmt formatCode="General" sourceLinked="1"/>
        <c:majorTickMark val="out"/>
        <c:minorTickMark val="none"/>
        <c:tickLblPos val="nextTo"/>
        <c:crossAx val="19013785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2013</c:v>
                </c:pt>
              </c:strCache>
            </c:strRef>
          </c:tx>
          <c:cat>
            <c:strRef>
              <c:f>Лист1!$A$2:$A$11</c:f>
              <c:strCache>
                <c:ptCount val="10"/>
                <c:pt idx="0">
                  <c:v>с/х</c:v>
                </c:pt>
                <c:pt idx="1">
                  <c:v>добыча полезных ископаемых</c:v>
                </c:pt>
                <c:pt idx="2">
                  <c:v>обрабатывающие производства</c:v>
                </c:pt>
                <c:pt idx="3">
                  <c:v>Производство электроэнергии</c:v>
                </c:pt>
                <c:pt idx="4">
                  <c:v>строительство</c:v>
                </c:pt>
                <c:pt idx="5">
                  <c:v>транспорт и связь</c:v>
                </c:pt>
                <c:pt idx="6">
                  <c:v>финансовая деятельность</c:v>
                </c:pt>
                <c:pt idx="7">
                  <c:v>образование</c:v>
                </c:pt>
                <c:pt idx="8">
                  <c:v>здравоохранение</c:v>
                </c:pt>
                <c:pt idx="9">
                  <c:v>прочие услуги</c:v>
                </c:pt>
              </c:strCache>
            </c:strRef>
          </c:cat>
          <c:val>
            <c:numRef>
              <c:f>Лист1!$B$2:$B$11</c:f>
              <c:numCache>
                <c:formatCode>General</c:formatCode>
                <c:ptCount val="10"/>
                <c:pt idx="0">
                  <c:v>22.7</c:v>
                </c:pt>
                <c:pt idx="1">
                  <c:v>5.4</c:v>
                </c:pt>
                <c:pt idx="2">
                  <c:v>57.4</c:v>
                </c:pt>
                <c:pt idx="3">
                  <c:v>19.399999999999999</c:v>
                </c:pt>
                <c:pt idx="4">
                  <c:v>20.399999999999999</c:v>
                </c:pt>
                <c:pt idx="5">
                  <c:v>20.100000000000001</c:v>
                </c:pt>
                <c:pt idx="6">
                  <c:v>5.8</c:v>
                </c:pt>
                <c:pt idx="7">
                  <c:v>46.4</c:v>
                </c:pt>
                <c:pt idx="8">
                  <c:v>34.9</c:v>
                </c:pt>
                <c:pt idx="9">
                  <c:v>10.8</c:v>
                </c:pt>
              </c:numCache>
            </c:numRef>
          </c:val>
          <c:smooth val="0"/>
        </c:ser>
        <c:ser>
          <c:idx val="1"/>
          <c:order val="1"/>
          <c:tx>
            <c:strRef>
              <c:f>Лист1!$C$1</c:f>
              <c:strCache>
                <c:ptCount val="1"/>
                <c:pt idx="0">
                  <c:v>2017</c:v>
                </c:pt>
              </c:strCache>
            </c:strRef>
          </c:tx>
          <c:cat>
            <c:strRef>
              <c:f>Лист1!$A$2:$A$11</c:f>
              <c:strCache>
                <c:ptCount val="10"/>
                <c:pt idx="0">
                  <c:v>с/х</c:v>
                </c:pt>
                <c:pt idx="1">
                  <c:v>добыча полезных ископаемых</c:v>
                </c:pt>
                <c:pt idx="2">
                  <c:v>обрабатывающие производства</c:v>
                </c:pt>
                <c:pt idx="3">
                  <c:v>Производство электроэнергии</c:v>
                </c:pt>
                <c:pt idx="4">
                  <c:v>строительство</c:v>
                </c:pt>
                <c:pt idx="5">
                  <c:v>транспорт и связь</c:v>
                </c:pt>
                <c:pt idx="6">
                  <c:v>финансовая деятельность</c:v>
                </c:pt>
                <c:pt idx="7">
                  <c:v>образование</c:v>
                </c:pt>
                <c:pt idx="8">
                  <c:v>здравоохранение</c:v>
                </c:pt>
                <c:pt idx="9">
                  <c:v>прочие услуги</c:v>
                </c:pt>
              </c:strCache>
            </c:strRef>
          </c:cat>
          <c:val>
            <c:numRef>
              <c:f>Лист1!$C$2:$C$11</c:f>
              <c:numCache>
                <c:formatCode>General</c:formatCode>
                <c:ptCount val="10"/>
                <c:pt idx="0">
                  <c:v>24.7</c:v>
                </c:pt>
                <c:pt idx="1">
                  <c:v>5.8</c:v>
                </c:pt>
                <c:pt idx="2">
                  <c:v>56.7</c:v>
                </c:pt>
                <c:pt idx="3">
                  <c:v>17.7</c:v>
                </c:pt>
                <c:pt idx="4">
                  <c:v>16.3</c:v>
                </c:pt>
                <c:pt idx="5">
                  <c:v>19.2</c:v>
                </c:pt>
                <c:pt idx="6">
                  <c:v>4.5999999999999996</c:v>
                </c:pt>
                <c:pt idx="7">
                  <c:v>45</c:v>
                </c:pt>
                <c:pt idx="8">
                  <c:v>34.799999999999997</c:v>
                </c:pt>
                <c:pt idx="9">
                  <c:v>9.4</c:v>
                </c:pt>
              </c:numCache>
            </c:numRef>
          </c:val>
          <c:smooth val="0"/>
        </c:ser>
        <c:dLbls>
          <c:showLegendKey val="0"/>
          <c:showVal val="0"/>
          <c:showCatName val="0"/>
          <c:showSerName val="0"/>
          <c:showPercent val="0"/>
          <c:showBubbleSize val="0"/>
        </c:dLbls>
        <c:marker val="1"/>
        <c:smooth val="0"/>
        <c:axId val="189793280"/>
        <c:axId val="187245696"/>
      </c:lineChart>
      <c:catAx>
        <c:axId val="189793280"/>
        <c:scaling>
          <c:orientation val="minMax"/>
        </c:scaling>
        <c:delete val="0"/>
        <c:axPos val="b"/>
        <c:majorTickMark val="none"/>
        <c:minorTickMark val="none"/>
        <c:tickLblPos val="nextTo"/>
        <c:crossAx val="187245696"/>
        <c:crosses val="autoZero"/>
        <c:auto val="1"/>
        <c:lblAlgn val="ctr"/>
        <c:lblOffset val="100"/>
        <c:noMultiLvlLbl val="0"/>
      </c:catAx>
      <c:valAx>
        <c:axId val="187245696"/>
        <c:scaling>
          <c:orientation val="minMax"/>
        </c:scaling>
        <c:delete val="0"/>
        <c:axPos val="l"/>
        <c:majorGridlines/>
        <c:numFmt formatCode="General" sourceLinked="1"/>
        <c:majorTickMark val="none"/>
        <c:minorTickMark val="none"/>
        <c:tickLblPos val="nextTo"/>
        <c:crossAx val="18979328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Лист1!$A$2</c:f>
              <c:strCache>
                <c:ptCount val="1"/>
                <c:pt idx="0">
                  <c:v>Доходы населения</c:v>
                </c:pt>
              </c:strCache>
            </c:strRef>
          </c:tx>
          <c:dLbls>
            <c:showLegendKey val="0"/>
            <c:showVal val="1"/>
            <c:showCatName val="0"/>
            <c:showSerName val="0"/>
            <c:showPercent val="0"/>
            <c:showBubbleSize val="0"/>
            <c:showLeaderLines val="0"/>
          </c:dLbls>
          <c:cat>
            <c:numRef>
              <c:f>Лист1!$B$1:$C$1</c:f>
              <c:numCache>
                <c:formatCode>General</c:formatCode>
                <c:ptCount val="2"/>
                <c:pt idx="0">
                  <c:v>2013</c:v>
                </c:pt>
                <c:pt idx="1">
                  <c:v>2017</c:v>
                </c:pt>
              </c:numCache>
            </c:numRef>
          </c:cat>
          <c:val>
            <c:numRef>
              <c:f>Лист1!$B$2:$C$2</c:f>
              <c:numCache>
                <c:formatCode>General</c:formatCode>
                <c:ptCount val="2"/>
                <c:pt idx="0">
                  <c:v>279451</c:v>
                </c:pt>
                <c:pt idx="1">
                  <c:v>364477</c:v>
                </c:pt>
              </c:numCache>
            </c:numRef>
          </c:val>
          <c:smooth val="0"/>
        </c:ser>
        <c:ser>
          <c:idx val="1"/>
          <c:order val="1"/>
          <c:tx>
            <c:strRef>
              <c:f>Лист1!$A$3</c:f>
              <c:strCache>
                <c:ptCount val="1"/>
                <c:pt idx="0">
                  <c:v>Расходы населения</c:v>
                </c:pt>
              </c:strCache>
            </c:strRef>
          </c:tx>
          <c:dLbls>
            <c:showLegendKey val="0"/>
            <c:showVal val="1"/>
            <c:showCatName val="0"/>
            <c:showSerName val="0"/>
            <c:showPercent val="0"/>
            <c:showBubbleSize val="0"/>
            <c:showLeaderLines val="0"/>
          </c:dLbls>
          <c:cat>
            <c:numRef>
              <c:f>Лист1!$B$1:$C$1</c:f>
              <c:numCache>
                <c:formatCode>General</c:formatCode>
                <c:ptCount val="2"/>
                <c:pt idx="0">
                  <c:v>2013</c:v>
                </c:pt>
                <c:pt idx="1">
                  <c:v>2017</c:v>
                </c:pt>
              </c:numCache>
            </c:numRef>
          </c:cat>
          <c:val>
            <c:numRef>
              <c:f>Лист1!$B$3:$C$3</c:f>
              <c:numCache>
                <c:formatCode>General</c:formatCode>
                <c:ptCount val="2"/>
                <c:pt idx="0">
                  <c:v>251894</c:v>
                </c:pt>
                <c:pt idx="1">
                  <c:v>333175</c:v>
                </c:pt>
              </c:numCache>
            </c:numRef>
          </c:val>
          <c:smooth val="0"/>
        </c:ser>
        <c:dLbls>
          <c:showLegendKey val="0"/>
          <c:showVal val="0"/>
          <c:showCatName val="0"/>
          <c:showSerName val="0"/>
          <c:showPercent val="0"/>
          <c:showBubbleSize val="0"/>
        </c:dLbls>
        <c:marker val="1"/>
        <c:smooth val="0"/>
        <c:axId val="189795840"/>
        <c:axId val="187248576"/>
      </c:lineChart>
      <c:catAx>
        <c:axId val="189795840"/>
        <c:scaling>
          <c:orientation val="minMax"/>
        </c:scaling>
        <c:delete val="0"/>
        <c:axPos val="b"/>
        <c:numFmt formatCode="General" sourceLinked="1"/>
        <c:majorTickMark val="out"/>
        <c:minorTickMark val="none"/>
        <c:tickLblPos val="nextTo"/>
        <c:crossAx val="187248576"/>
        <c:crosses val="autoZero"/>
        <c:auto val="1"/>
        <c:lblAlgn val="ctr"/>
        <c:lblOffset val="100"/>
        <c:noMultiLvlLbl val="0"/>
      </c:catAx>
      <c:valAx>
        <c:axId val="187248576"/>
        <c:scaling>
          <c:orientation val="minMax"/>
        </c:scaling>
        <c:delete val="0"/>
        <c:axPos val="l"/>
        <c:majorGridlines/>
        <c:numFmt formatCode="General" sourceLinked="1"/>
        <c:majorTickMark val="out"/>
        <c:minorTickMark val="none"/>
        <c:tickLblPos val="nextTo"/>
        <c:crossAx val="189795840"/>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2013</c:v>
                </c:pt>
              </c:strCache>
            </c:strRef>
          </c:tx>
          <c:invertIfNegative val="0"/>
          <c:dLbls>
            <c:showLegendKey val="0"/>
            <c:showVal val="1"/>
            <c:showCatName val="0"/>
            <c:showSerName val="0"/>
            <c:showPercent val="0"/>
            <c:showBubbleSize val="0"/>
            <c:showLeaderLines val="0"/>
          </c:dLbls>
          <c:cat>
            <c:strRef>
              <c:f>Лист1!$A$2:$A$4</c:f>
              <c:strCache>
                <c:ptCount val="3"/>
                <c:pt idx="0">
                  <c:v>Индекс промышленного производства</c:v>
                </c:pt>
                <c:pt idx="1">
                  <c:v>Продукция сельского хозяйства</c:v>
                </c:pt>
                <c:pt idx="2">
                  <c:v>Строительные работы</c:v>
                </c:pt>
              </c:strCache>
            </c:strRef>
          </c:cat>
          <c:val>
            <c:numRef>
              <c:f>Лист1!$B$2:$B$4</c:f>
              <c:numCache>
                <c:formatCode>General</c:formatCode>
                <c:ptCount val="3"/>
                <c:pt idx="0">
                  <c:v>100.8</c:v>
                </c:pt>
                <c:pt idx="1">
                  <c:v>79.3</c:v>
                </c:pt>
                <c:pt idx="2">
                  <c:v>100.2</c:v>
                </c:pt>
              </c:numCache>
            </c:numRef>
          </c:val>
        </c:ser>
        <c:ser>
          <c:idx val="1"/>
          <c:order val="1"/>
          <c:tx>
            <c:strRef>
              <c:f>Лист1!$C$1</c:f>
              <c:strCache>
                <c:ptCount val="1"/>
                <c:pt idx="0">
                  <c:v>2017</c:v>
                </c:pt>
              </c:strCache>
            </c:strRef>
          </c:tx>
          <c:invertIfNegative val="0"/>
          <c:dLbls>
            <c:dLbl>
              <c:idx val="0"/>
              <c:layout>
                <c:manualLayout>
                  <c:x val="3.0555555555555555E-2"/>
                  <c:y val="-9.2592592592592587E-3"/>
                </c:manualLayout>
              </c:layout>
              <c:showLegendKey val="0"/>
              <c:showVal val="1"/>
              <c:showCatName val="0"/>
              <c:showSerName val="0"/>
              <c:showPercent val="0"/>
              <c:showBubbleSize val="0"/>
            </c:dLbl>
            <c:dLbl>
              <c:idx val="2"/>
              <c:layout>
                <c:manualLayout>
                  <c:x val="1.9444225721784777E-2"/>
                  <c:y val="-1.8518518518518517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Лист1!$A$2:$A$4</c:f>
              <c:strCache>
                <c:ptCount val="3"/>
                <c:pt idx="0">
                  <c:v>Индекс промышленного производства</c:v>
                </c:pt>
                <c:pt idx="1">
                  <c:v>Продукция сельского хозяйства</c:v>
                </c:pt>
                <c:pt idx="2">
                  <c:v>Строительные работы</c:v>
                </c:pt>
              </c:strCache>
            </c:strRef>
          </c:cat>
          <c:val>
            <c:numRef>
              <c:f>Лист1!$C$2:$C$4</c:f>
              <c:numCache>
                <c:formatCode>General</c:formatCode>
                <c:ptCount val="3"/>
                <c:pt idx="0">
                  <c:v>103.1</c:v>
                </c:pt>
                <c:pt idx="1">
                  <c:v>133.30000000000001</c:v>
                </c:pt>
                <c:pt idx="2">
                  <c:v>100.4</c:v>
                </c:pt>
              </c:numCache>
            </c:numRef>
          </c:val>
        </c:ser>
        <c:dLbls>
          <c:showLegendKey val="0"/>
          <c:showVal val="0"/>
          <c:showCatName val="0"/>
          <c:showSerName val="0"/>
          <c:showPercent val="0"/>
          <c:showBubbleSize val="0"/>
        </c:dLbls>
        <c:gapWidth val="150"/>
        <c:shape val="box"/>
        <c:axId val="190139904"/>
        <c:axId val="187250304"/>
        <c:axId val="0"/>
      </c:bar3DChart>
      <c:catAx>
        <c:axId val="190139904"/>
        <c:scaling>
          <c:orientation val="minMax"/>
        </c:scaling>
        <c:delete val="0"/>
        <c:axPos val="b"/>
        <c:majorTickMark val="out"/>
        <c:minorTickMark val="none"/>
        <c:tickLblPos val="nextTo"/>
        <c:crossAx val="187250304"/>
        <c:crosses val="autoZero"/>
        <c:auto val="1"/>
        <c:lblAlgn val="ctr"/>
        <c:lblOffset val="100"/>
        <c:noMultiLvlLbl val="0"/>
      </c:catAx>
      <c:valAx>
        <c:axId val="187250304"/>
        <c:scaling>
          <c:orientation val="minMax"/>
        </c:scaling>
        <c:delete val="0"/>
        <c:axPos val="l"/>
        <c:majorGridlines/>
        <c:numFmt formatCode="General" sourceLinked="1"/>
        <c:majorTickMark val="out"/>
        <c:minorTickMark val="none"/>
        <c:tickLblPos val="nextTo"/>
        <c:crossAx val="190139904"/>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2013</c:v>
                </c:pt>
              </c:strCache>
            </c:strRef>
          </c:tx>
          <c:cat>
            <c:strRef>
              <c:f>Лист1!$A$2:$A$10</c:f>
              <c:strCache>
                <c:ptCount val="9"/>
                <c:pt idx="0">
                  <c:v>Добыча полезных ископаемых</c:v>
                </c:pt>
                <c:pt idx="1">
                  <c:v>пищевое производство</c:v>
                </c:pt>
                <c:pt idx="2">
                  <c:v>текстильное производство</c:v>
                </c:pt>
                <c:pt idx="3">
                  <c:v>обработка древесины</c:v>
                </c:pt>
                <c:pt idx="4">
                  <c:v>химическое производство </c:v>
                </c:pt>
                <c:pt idx="5">
                  <c:v>металлургия</c:v>
                </c:pt>
                <c:pt idx="6">
                  <c:v>производство машин</c:v>
                </c:pt>
                <c:pt idx="7">
                  <c:v>производство оборудования</c:v>
                </c:pt>
                <c:pt idx="8">
                  <c:v>производство электроэнергии</c:v>
                </c:pt>
              </c:strCache>
            </c:strRef>
          </c:cat>
          <c:val>
            <c:numRef>
              <c:f>Лист1!$B$2:$B$10</c:f>
              <c:numCache>
                <c:formatCode>General</c:formatCode>
                <c:ptCount val="9"/>
                <c:pt idx="0">
                  <c:v>97.7</c:v>
                </c:pt>
                <c:pt idx="1">
                  <c:v>104.9</c:v>
                </c:pt>
                <c:pt idx="2">
                  <c:v>90.4</c:v>
                </c:pt>
                <c:pt idx="3">
                  <c:v>92</c:v>
                </c:pt>
                <c:pt idx="4">
                  <c:v>97</c:v>
                </c:pt>
                <c:pt idx="5">
                  <c:v>181.4</c:v>
                </c:pt>
                <c:pt idx="6">
                  <c:v>126.3</c:v>
                </c:pt>
                <c:pt idx="7">
                  <c:v>146.1</c:v>
                </c:pt>
                <c:pt idx="8">
                  <c:v>84.2</c:v>
                </c:pt>
              </c:numCache>
            </c:numRef>
          </c:val>
          <c:smooth val="0"/>
        </c:ser>
        <c:ser>
          <c:idx val="1"/>
          <c:order val="1"/>
          <c:tx>
            <c:strRef>
              <c:f>Лист1!$C$1</c:f>
              <c:strCache>
                <c:ptCount val="1"/>
                <c:pt idx="0">
                  <c:v>2017</c:v>
                </c:pt>
              </c:strCache>
            </c:strRef>
          </c:tx>
          <c:cat>
            <c:strRef>
              <c:f>Лист1!$A$2:$A$10</c:f>
              <c:strCache>
                <c:ptCount val="9"/>
                <c:pt idx="0">
                  <c:v>Добыча полезных ископаемых</c:v>
                </c:pt>
                <c:pt idx="1">
                  <c:v>пищевое производство</c:v>
                </c:pt>
                <c:pt idx="2">
                  <c:v>текстильное производство</c:v>
                </c:pt>
                <c:pt idx="3">
                  <c:v>обработка древесины</c:v>
                </c:pt>
                <c:pt idx="4">
                  <c:v>химическое производство </c:v>
                </c:pt>
                <c:pt idx="5">
                  <c:v>металлургия</c:v>
                </c:pt>
                <c:pt idx="6">
                  <c:v>производство машин</c:v>
                </c:pt>
                <c:pt idx="7">
                  <c:v>производство оборудования</c:v>
                </c:pt>
                <c:pt idx="8">
                  <c:v>производство электроэнергии</c:v>
                </c:pt>
              </c:strCache>
            </c:strRef>
          </c:cat>
          <c:val>
            <c:numRef>
              <c:f>Лист1!$C$2:$C$10</c:f>
              <c:numCache>
                <c:formatCode>General</c:formatCode>
                <c:ptCount val="9"/>
                <c:pt idx="0">
                  <c:v>104.6</c:v>
                </c:pt>
                <c:pt idx="1">
                  <c:v>107.9</c:v>
                </c:pt>
                <c:pt idx="2">
                  <c:v>116.1</c:v>
                </c:pt>
                <c:pt idx="3">
                  <c:v>101.2</c:v>
                </c:pt>
                <c:pt idx="4">
                  <c:v>115.8</c:v>
                </c:pt>
                <c:pt idx="5">
                  <c:v>123.7</c:v>
                </c:pt>
                <c:pt idx="6">
                  <c:v>150.30000000000001</c:v>
                </c:pt>
                <c:pt idx="7">
                  <c:v>107.4</c:v>
                </c:pt>
                <c:pt idx="8">
                  <c:v>94.9</c:v>
                </c:pt>
              </c:numCache>
            </c:numRef>
          </c:val>
          <c:smooth val="0"/>
        </c:ser>
        <c:dLbls>
          <c:showLegendKey val="0"/>
          <c:showVal val="0"/>
          <c:showCatName val="0"/>
          <c:showSerName val="0"/>
          <c:showPercent val="0"/>
          <c:showBubbleSize val="0"/>
        </c:dLbls>
        <c:marker val="1"/>
        <c:smooth val="0"/>
        <c:axId val="190138880"/>
        <c:axId val="187252032"/>
      </c:lineChart>
      <c:catAx>
        <c:axId val="190138880"/>
        <c:scaling>
          <c:orientation val="minMax"/>
        </c:scaling>
        <c:delete val="0"/>
        <c:axPos val="b"/>
        <c:majorTickMark val="out"/>
        <c:minorTickMark val="none"/>
        <c:tickLblPos val="nextTo"/>
        <c:txPr>
          <a:bodyPr/>
          <a:lstStyle/>
          <a:p>
            <a:pPr>
              <a:defRPr sz="800" baseline="0"/>
            </a:pPr>
            <a:endParaRPr lang="ru-RU"/>
          </a:p>
        </c:txPr>
        <c:crossAx val="187252032"/>
        <c:crosses val="autoZero"/>
        <c:auto val="1"/>
        <c:lblAlgn val="ctr"/>
        <c:lblOffset val="100"/>
        <c:noMultiLvlLbl val="0"/>
      </c:catAx>
      <c:valAx>
        <c:axId val="187252032"/>
        <c:scaling>
          <c:orientation val="minMax"/>
        </c:scaling>
        <c:delete val="0"/>
        <c:axPos val="l"/>
        <c:majorGridlines/>
        <c:numFmt formatCode="General" sourceLinked="1"/>
        <c:majorTickMark val="out"/>
        <c:minorTickMark val="none"/>
        <c:tickLblPos val="nextTo"/>
        <c:crossAx val="190138880"/>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0744D2-E269-48E9-9113-CEF9D8A87CE5}"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ru-RU"/>
        </a:p>
      </dgm:t>
    </dgm:pt>
    <dgm:pt modelId="{F21E1A4D-8D29-4661-990C-76D5D68CE309}">
      <dgm:prSet phldrT="[Текст]" custT="1"/>
      <dgm:spPr/>
      <dgm:t>
        <a:bodyPr/>
        <a:lstStyle/>
        <a:p>
          <a:r>
            <a:rPr lang="ru-RU" sz="1200" b="0">
              <a:solidFill>
                <a:sysClr val="windowText" lastClr="000000"/>
              </a:solidFill>
              <a:latin typeface="Times New Roman" panose="02020603050405020304" pitchFamily="18" charset="0"/>
              <a:cs typeface="Times New Roman" panose="02020603050405020304" pitchFamily="18" charset="0"/>
            </a:rPr>
            <a:t>Цифровая экономика</a:t>
          </a:r>
        </a:p>
      </dgm:t>
    </dgm:pt>
    <dgm:pt modelId="{1B96722E-6686-4389-BA99-03E716EA5618}" type="parTrans" cxnId="{FBDD2DE5-0DF0-4618-9315-D24443EFC48C}">
      <dgm:prSet/>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F77AD126-AE50-4EC6-84BF-A79C03326DD4}" type="sibTrans" cxnId="{FBDD2DE5-0DF0-4618-9315-D24443EFC48C}">
      <dgm:prSet/>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3DF290AA-52FB-4F1B-85C7-18B84BE4A6CD}">
      <dgm:prSet phldrT="[Текст]" custT="1"/>
      <dgm:spPr/>
      <dgm:t>
        <a:bodyPr/>
        <a:lstStyle/>
        <a:p>
          <a:r>
            <a:rPr lang="ru-RU" sz="1200" b="0">
              <a:solidFill>
                <a:sysClr val="windowText" lastClr="000000"/>
              </a:solidFill>
              <a:latin typeface="Times New Roman" panose="02020603050405020304" pitchFamily="18" charset="0"/>
              <a:cs typeface="Times New Roman" panose="02020603050405020304" pitchFamily="18" charset="0"/>
            </a:rPr>
            <a:t>Кибербезопасность</a:t>
          </a:r>
        </a:p>
      </dgm:t>
    </dgm:pt>
    <dgm:pt modelId="{DA9910B2-3290-436E-B9A4-0FC0EE09A7C5}" type="parTrans" cxnId="{4F3F2673-B1FF-4BED-853A-052EA0ADEAB3}">
      <dgm:prSet custT="1"/>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8B96182C-4A73-46D5-9C46-C83C22AE8A52}" type="sibTrans" cxnId="{4F3F2673-B1FF-4BED-853A-052EA0ADEAB3}">
      <dgm:prSet/>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E4FD3EB6-CB9D-40B7-B1EE-17A6BE61E9B2}">
      <dgm:prSet phldrT="[Текст]" custT="1"/>
      <dgm:spPr/>
      <dgm:t>
        <a:bodyPr/>
        <a:lstStyle/>
        <a:p>
          <a:r>
            <a:rPr lang="ru-RU" sz="1200" b="0">
              <a:solidFill>
                <a:sysClr val="windowText" lastClr="000000"/>
              </a:solidFill>
              <a:latin typeface="Times New Roman" panose="02020603050405020304" pitchFamily="18" charset="0"/>
              <a:cs typeface="Times New Roman" panose="02020603050405020304" pitchFamily="18" charset="0"/>
            </a:rPr>
            <a:t>Трансграничное сотрудничество</a:t>
          </a:r>
        </a:p>
      </dgm:t>
    </dgm:pt>
    <dgm:pt modelId="{088B8E1F-6F79-4547-A750-0941467F4006}" type="parTrans" cxnId="{643F88C6-5CAB-4B72-915E-EE4E66893EA9}">
      <dgm:prSet custT="1"/>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C18F8B3B-053E-497A-901D-A296E24AF06A}" type="sibTrans" cxnId="{643F88C6-5CAB-4B72-915E-EE4E66893EA9}">
      <dgm:prSet/>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C00A3986-C3AB-4899-BB64-B4F0B04BA71F}">
      <dgm:prSet phldrT="[Текст]" custT="1"/>
      <dgm:spPr/>
      <dgm:t>
        <a:bodyPr/>
        <a:lstStyle/>
        <a:p>
          <a:r>
            <a:rPr lang="ru-RU" sz="1200" b="0">
              <a:solidFill>
                <a:sysClr val="windowText" lastClr="000000"/>
              </a:solidFill>
              <a:latin typeface="Times New Roman" panose="02020603050405020304" pitchFamily="18" charset="0"/>
              <a:cs typeface="Times New Roman" panose="02020603050405020304" pitchFamily="18" charset="0"/>
            </a:rPr>
            <a:t>Создание общих </a:t>
          </a:r>
          <a:r>
            <a:rPr lang="nl-NL" sz="1200" b="0">
              <a:solidFill>
                <a:sysClr val="windowText" lastClr="000000"/>
              </a:solidFill>
              <a:latin typeface="Times New Roman" panose="02020603050405020304" pitchFamily="18" charset="0"/>
              <a:cs typeface="Times New Roman" panose="02020603050405020304" pitchFamily="18" charset="0"/>
            </a:rPr>
            <a:t>IT-</a:t>
          </a:r>
          <a:r>
            <a:rPr lang="ru-RU" sz="1200" b="0">
              <a:solidFill>
                <a:sysClr val="windowText" lastClr="000000"/>
              </a:solidFill>
              <a:latin typeface="Times New Roman" panose="02020603050405020304" pitchFamily="18" charset="0"/>
              <a:cs typeface="Times New Roman" panose="02020603050405020304" pitchFamily="18" charset="0"/>
            </a:rPr>
            <a:t>платформ </a:t>
          </a:r>
        </a:p>
      </dgm:t>
    </dgm:pt>
    <dgm:pt modelId="{640A56F9-95CB-4F62-A6B9-AE77631305CD}" type="parTrans" cxnId="{4A0A29D5-9278-4021-96BB-E5AAA15F253B}">
      <dgm:prSet custT="1"/>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330C6841-B852-46FD-B4CA-EE47308E0211}" type="sibTrans" cxnId="{4A0A29D5-9278-4021-96BB-E5AAA15F253B}">
      <dgm:prSet/>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107F0491-718E-41E6-BEED-98FC222F7A36}">
      <dgm:prSet phldrT="[Текст]" custT="1"/>
      <dgm:spPr/>
      <dgm:t>
        <a:bodyPr/>
        <a:lstStyle/>
        <a:p>
          <a:r>
            <a:rPr lang="nl-NL" sz="1200" b="0">
              <a:solidFill>
                <a:sysClr val="windowText" lastClr="000000"/>
              </a:solidFill>
              <a:latin typeface="Times New Roman" panose="02020603050405020304" pitchFamily="18" charset="0"/>
              <a:cs typeface="Times New Roman" panose="02020603050405020304" pitchFamily="18" charset="0"/>
            </a:rPr>
            <a:t>B2B-</a:t>
          </a:r>
          <a:r>
            <a:rPr lang="ru-RU" sz="1200" b="0">
              <a:solidFill>
                <a:sysClr val="windowText" lastClr="000000"/>
              </a:solidFill>
              <a:latin typeface="Times New Roman" panose="02020603050405020304" pitchFamily="18" charset="0"/>
              <a:cs typeface="Times New Roman" panose="02020603050405020304" pitchFamily="18" charset="0"/>
            </a:rPr>
            <a:t>маркетплейсы</a:t>
          </a:r>
        </a:p>
      </dgm:t>
    </dgm:pt>
    <dgm:pt modelId="{1E8D0C10-D0F1-433A-8C81-2BA4F45D0873}" type="parTrans" cxnId="{C3280816-F15B-409A-A4DB-8AC91B7FEDA6}">
      <dgm:prSet custT="1"/>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F5B20550-395D-4C26-B581-A6FBE75AAB4E}" type="sibTrans" cxnId="{C3280816-F15B-409A-A4DB-8AC91B7FEDA6}">
      <dgm:prSet/>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D4A326EE-196E-47CA-A826-2C110C567E85}">
      <dgm:prSet custT="1"/>
      <dgm:spPr/>
      <dgm:t>
        <a:bodyPr/>
        <a:lstStyle/>
        <a:p>
          <a:r>
            <a:rPr lang="ru-RU" sz="1200" b="0">
              <a:solidFill>
                <a:sysClr val="windowText" lastClr="000000"/>
              </a:solidFill>
              <a:latin typeface="Times New Roman" panose="02020603050405020304" pitchFamily="18" charset="0"/>
              <a:cs typeface="Times New Roman" panose="02020603050405020304" pitchFamily="18" charset="0"/>
            </a:rPr>
            <a:t>Цифровизация государственных услуг</a:t>
          </a:r>
        </a:p>
      </dgm:t>
    </dgm:pt>
    <dgm:pt modelId="{5B735D20-79D1-4ED0-BF24-1736F8F58E68}" type="parTrans" cxnId="{C928EE45-06B0-442F-9297-720419AFE2E6}">
      <dgm:prSet custT="1"/>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9D1B71F9-505F-4C4E-B2A1-873E3D6E544B}" type="sibTrans" cxnId="{C928EE45-06B0-442F-9297-720419AFE2E6}">
      <dgm:prSet/>
      <dgm:spPr/>
      <dgm:t>
        <a:bodyPr/>
        <a:lstStyle/>
        <a:p>
          <a:endParaRPr lang="ru-RU" sz="1200" b="0">
            <a:solidFill>
              <a:sysClr val="windowText" lastClr="000000"/>
            </a:solidFill>
            <a:latin typeface="Times New Roman" panose="02020603050405020304" pitchFamily="18" charset="0"/>
            <a:cs typeface="Times New Roman" panose="02020603050405020304" pitchFamily="18" charset="0"/>
          </a:endParaRPr>
        </a:p>
      </dgm:t>
    </dgm:pt>
    <dgm:pt modelId="{B7AC591C-BD5D-4F4D-BD72-05197CB5DC44}" type="pres">
      <dgm:prSet presAssocID="{040744D2-E269-48E9-9113-CEF9D8A87CE5}" presName="cycle" presStyleCnt="0">
        <dgm:presLayoutVars>
          <dgm:chMax val="1"/>
          <dgm:dir/>
          <dgm:animLvl val="ctr"/>
          <dgm:resizeHandles val="exact"/>
        </dgm:presLayoutVars>
      </dgm:prSet>
      <dgm:spPr/>
    </dgm:pt>
    <dgm:pt modelId="{467609C9-E54D-4072-89C3-EAE8F5ADC37A}" type="pres">
      <dgm:prSet presAssocID="{F21E1A4D-8D29-4661-990C-76D5D68CE309}" presName="centerShape" presStyleLbl="node0" presStyleIdx="0" presStyleCnt="1"/>
      <dgm:spPr/>
    </dgm:pt>
    <dgm:pt modelId="{4CEF27A2-F2EC-48B8-A66F-445F2313D496}" type="pres">
      <dgm:prSet presAssocID="{DA9910B2-3290-436E-B9A4-0FC0EE09A7C5}" presName="Name9" presStyleLbl="parChTrans1D2" presStyleIdx="0" presStyleCnt="5"/>
      <dgm:spPr/>
    </dgm:pt>
    <dgm:pt modelId="{E2FF807F-E19A-4C72-96FF-6CD05BF58419}" type="pres">
      <dgm:prSet presAssocID="{DA9910B2-3290-436E-B9A4-0FC0EE09A7C5}" presName="connTx" presStyleLbl="parChTrans1D2" presStyleIdx="0" presStyleCnt="5"/>
      <dgm:spPr/>
    </dgm:pt>
    <dgm:pt modelId="{68F7A553-F71D-42B0-A18B-D90B7DC681D1}" type="pres">
      <dgm:prSet presAssocID="{3DF290AA-52FB-4F1B-85C7-18B84BE4A6CD}" presName="node" presStyleLbl="node1" presStyleIdx="0" presStyleCnt="5" custScaleX="182669" custScaleY="58064">
        <dgm:presLayoutVars>
          <dgm:bulletEnabled val="1"/>
        </dgm:presLayoutVars>
      </dgm:prSet>
      <dgm:spPr/>
    </dgm:pt>
    <dgm:pt modelId="{00BC27CC-AC8F-4441-89E3-37666F12212D}" type="pres">
      <dgm:prSet presAssocID="{088B8E1F-6F79-4547-A750-0941467F4006}" presName="Name9" presStyleLbl="parChTrans1D2" presStyleIdx="1" presStyleCnt="5"/>
      <dgm:spPr/>
    </dgm:pt>
    <dgm:pt modelId="{7AF3F692-FB23-4E22-8571-D7238CE3B970}" type="pres">
      <dgm:prSet presAssocID="{088B8E1F-6F79-4547-A750-0941467F4006}" presName="connTx" presStyleLbl="parChTrans1D2" presStyleIdx="1" presStyleCnt="5"/>
      <dgm:spPr/>
    </dgm:pt>
    <dgm:pt modelId="{ACE35C90-6A06-4E2C-8E6E-72F32BFE04C7}" type="pres">
      <dgm:prSet presAssocID="{E4FD3EB6-CB9D-40B7-B1EE-17A6BE61E9B2}" presName="node" presStyleLbl="node1" presStyleIdx="1" presStyleCnt="5" custScaleX="161074" custScaleY="62586" custRadScaleRad="129942" custRadScaleInc="11785">
        <dgm:presLayoutVars>
          <dgm:bulletEnabled val="1"/>
        </dgm:presLayoutVars>
      </dgm:prSet>
      <dgm:spPr/>
      <dgm:t>
        <a:bodyPr/>
        <a:lstStyle/>
        <a:p>
          <a:endParaRPr lang="ru-RU"/>
        </a:p>
      </dgm:t>
    </dgm:pt>
    <dgm:pt modelId="{94E105C9-63FD-4C57-B58C-04EAEE10979F}" type="pres">
      <dgm:prSet presAssocID="{640A56F9-95CB-4F62-A6B9-AE77631305CD}" presName="Name9" presStyleLbl="parChTrans1D2" presStyleIdx="2" presStyleCnt="5"/>
      <dgm:spPr/>
    </dgm:pt>
    <dgm:pt modelId="{3DF3C7AA-E22C-4E0C-A684-D54301AA49DA}" type="pres">
      <dgm:prSet presAssocID="{640A56F9-95CB-4F62-A6B9-AE77631305CD}" presName="connTx" presStyleLbl="parChTrans1D2" presStyleIdx="2" presStyleCnt="5"/>
      <dgm:spPr/>
    </dgm:pt>
    <dgm:pt modelId="{2E0316E6-4BD6-4D80-AE35-83901DF0BC99}" type="pres">
      <dgm:prSet presAssocID="{C00A3986-C3AB-4899-BB64-B4F0B04BA71F}" presName="node" presStyleLbl="node1" presStyleIdx="2" presStyleCnt="5" custScaleX="104501" custScaleY="76335">
        <dgm:presLayoutVars>
          <dgm:bulletEnabled val="1"/>
        </dgm:presLayoutVars>
      </dgm:prSet>
      <dgm:spPr/>
      <dgm:t>
        <a:bodyPr/>
        <a:lstStyle/>
        <a:p>
          <a:endParaRPr lang="ru-RU"/>
        </a:p>
      </dgm:t>
    </dgm:pt>
    <dgm:pt modelId="{3B548C4D-230D-4BD0-BEE2-BC9CD30E7F85}" type="pres">
      <dgm:prSet presAssocID="{1E8D0C10-D0F1-433A-8C81-2BA4F45D0873}" presName="Name9" presStyleLbl="parChTrans1D2" presStyleIdx="3" presStyleCnt="5"/>
      <dgm:spPr/>
    </dgm:pt>
    <dgm:pt modelId="{5126454F-F764-4782-B529-F0443D74C8A7}" type="pres">
      <dgm:prSet presAssocID="{1E8D0C10-D0F1-433A-8C81-2BA4F45D0873}" presName="connTx" presStyleLbl="parChTrans1D2" presStyleIdx="3" presStyleCnt="5"/>
      <dgm:spPr/>
    </dgm:pt>
    <dgm:pt modelId="{0CCC2126-87A9-498D-A091-12C530C744AA}" type="pres">
      <dgm:prSet presAssocID="{107F0491-718E-41E6-BEED-98FC222F7A36}" presName="node" presStyleLbl="node1" presStyleIdx="3" presStyleCnt="5" custScaleX="129307" custScaleY="55664" custRadScaleRad="111731" custRadScaleInc="16386">
        <dgm:presLayoutVars>
          <dgm:bulletEnabled val="1"/>
        </dgm:presLayoutVars>
      </dgm:prSet>
      <dgm:spPr/>
      <dgm:t>
        <a:bodyPr/>
        <a:lstStyle/>
        <a:p>
          <a:endParaRPr lang="ru-RU"/>
        </a:p>
      </dgm:t>
    </dgm:pt>
    <dgm:pt modelId="{2701952A-8E37-487A-8004-6661ED7D8469}" type="pres">
      <dgm:prSet presAssocID="{5B735D20-79D1-4ED0-BF24-1736F8F58E68}" presName="Name9" presStyleLbl="parChTrans1D2" presStyleIdx="4" presStyleCnt="5"/>
      <dgm:spPr/>
    </dgm:pt>
    <dgm:pt modelId="{CD5DCFA2-362E-4A88-9F44-CD5CD70161E5}" type="pres">
      <dgm:prSet presAssocID="{5B735D20-79D1-4ED0-BF24-1736F8F58E68}" presName="connTx" presStyleLbl="parChTrans1D2" presStyleIdx="4" presStyleCnt="5"/>
      <dgm:spPr/>
    </dgm:pt>
    <dgm:pt modelId="{ACD960D5-6EF7-459C-AFFD-477AB94E78DC}" type="pres">
      <dgm:prSet presAssocID="{D4A326EE-196E-47CA-A826-2C110C567E85}" presName="node" presStyleLbl="node1" presStyleIdx="4" presStyleCnt="5" custScaleX="161495" custScaleY="68478" custRadScaleRad="132104" custRadScaleInc="-4664">
        <dgm:presLayoutVars>
          <dgm:bulletEnabled val="1"/>
        </dgm:presLayoutVars>
      </dgm:prSet>
      <dgm:spPr/>
    </dgm:pt>
  </dgm:ptLst>
  <dgm:cxnLst>
    <dgm:cxn modelId="{4F3F2673-B1FF-4BED-853A-052EA0ADEAB3}" srcId="{F21E1A4D-8D29-4661-990C-76D5D68CE309}" destId="{3DF290AA-52FB-4F1B-85C7-18B84BE4A6CD}" srcOrd="0" destOrd="0" parTransId="{DA9910B2-3290-436E-B9A4-0FC0EE09A7C5}" sibTransId="{8B96182C-4A73-46D5-9C46-C83C22AE8A52}"/>
    <dgm:cxn modelId="{FBDD2DE5-0DF0-4618-9315-D24443EFC48C}" srcId="{040744D2-E269-48E9-9113-CEF9D8A87CE5}" destId="{F21E1A4D-8D29-4661-990C-76D5D68CE309}" srcOrd="0" destOrd="0" parTransId="{1B96722E-6686-4389-BA99-03E716EA5618}" sibTransId="{F77AD126-AE50-4EC6-84BF-A79C03326DD4}"/>
    <dgm:cxn modelId="{8EAB96F2-AE88-4B1E-A117-75965B5AD3A7}" type="presOf" srcId="{107F0491-718E-41E6-BEED-98FC222F7A36}" destId="{0CCC2126-87A9-498D-A091-12C530C744AA}" srcOrd="0" destOrd="0" presId="urn:microsoft.com/office/officeart/2005/8/layout/radial1"/>
    <dgm:cxn modelId="{BE828C7E-5690-4A8A-94DA-F4144B9B4CC3}" type="presOf" srcId="{3DF290AA-52FB-4F1B-85C7-18B84BE4A6CD}" destId="{68F7A553-F71D-42B0-A18B-D90B7DC681D1}" srcOrd="0" destOrd="0" presId="urn:microsoft.com/office/officeart/2005/8/layout/radial1"/>
    <dgm:cxn modelId="{F52AE8C8-A2F3-465C-9605-FAD9BDBE17C7}" type="presOf" srcId="{DA9910B2-3290-436E-B9A4-0FC0EE09A7C5}" destId="{E2FF807F-E19A-4C72-96FF-6CD05BF58419}" srcOrd="1" destOrd="0" presId="urn:microsoft.com/office/officeart/2005/8/layout/radial1"/>
    <dgm:cxn modelId="{4A0A29D5-9278-4021-96BB-E5AAA15F253B}" srcId="{F21E1A4D-8D29-4661-990C-76D5D68CE309}" destId="{C00A3986-C3AB-4899-BB64-B4F0B04BA71F}" srcOrd="2" destOrd="0" parTransId="{640A56F9-95CB-4F62-A6B9-AE77631305CD}" sibTransId="{330C6841-B852-46FD-B4CA-EE47308E0211}"/>
    <dgm:cxn modelId="{9EF2C307-A8C1-457C-899E-E80015163447}" type="presOf" srcId="{5B735D20-79D1-4ED0-BF24-1736F8F58E68}" destId="{CD5DCFA2-362E-4A88-9F44-CD5CD70161E5}" srcOrd="1" destOrd="0" presId="urn:microsoft.com/office/officeart/2005/8/layout/radial1"/>
    <dgm:cxn modelId="{8C397CF7-FF69-485A-B8E8-19DF98B140A6}" type="presOf" srcId="{1E8D0C10-D0F1-433A-8C81-2BA4F45D0873}" destId="{5126454F-F764-4782-B529-F0443D74C8A7}" srcOrd="1" destOrd="0" presId="urn:microsoft.com/office/officeart/2005/8/layout/radial1"/>
    <dgm:cxn modelId="{4463ACF5-09BB-4167-8748-80074E9F315C}" type="presOf" srcId="{640A56F9-95CB-4F62-A6B9-AE77631305CD}" destId="{94E105C9-63FD-4C57-B58C-04EAEE10979F}" srcOrd="0" destOrd="0" presId="urn:microsoft.com/office/officeart/2005/8/layout/radial1"/>
    <dgm:cxn modelId="{2715C900-3424-42A0-AB2B-23CCB97BB288}" type="presOf" srcId="{1E8D0C10-D0F1-433A-8C81-2BA4F45D0873}" destId="{3B548C4D-230D-4BD0-BEE2-BC9CD30E7F85}" srcOrd="0" destOrd="0" presId="urn:microsoft.com/office/officeart/2005/8/layout/radial1"/>
    <dgm:cxn modelId="{A4BB2A43-FAED-44A6-A9F9-2F83DC0AB01B}" type="presOf" srcId="{D4A326EE-196E-47CA-A826-2C110C567E85}" destId="{ACD960D5-6EF7-459C-AFFD-477AB94E78DC}" srcOrd="0" destOrd="0" presId="urn:microsoft.com/office/officeart/2005/8/layout/radial1"/>
    <dgm:cxn modelId="{643F88C6-5CAB-4B72-915E-EE4E66893EA9}" srcId="{F21E1A4D-8D29-4661-990C-76D5D68CE309}" destId="{E4FD3EB6-CB9D-40B7-B1EE-17A6BE61E9B2}" srcOrd="1" destOrd="0" parTransId="{088B8E1F-6F79-4547-A750-0941467F4006}" sibTransId="{C18F8B3B-053E-497A-901D-A296E24AF06A}"/>
    <dgm:cxn modelId="{352977DE-1634-4EA9-AB8B-41BF39CD86AA}" type="presOf" srcId="{E4FD3EB6-CB9D-40B7-B1EE-17A6BE61E9B2}" destId="{ACE35C90-6A06-4E2C-8E6E-72F32BFE04C7}" srcOrd="0" destOrd="0" presId="urn:microsoft.com/office/officeart/2005/8/layout/radial1"/>
    <dgm:cxn modelId="{C3280816-F15B-409A-A4DB-8AC91B7FEDA6}" srcId="{F21E1A4D-8D29-4661-990C-76D5D68CE309}" destId="{107F0491-718E-41E6-BEED-98FC222F7A36}" srcOrd="3" destOrd="0" parTransId="{1E8D0C10-D0F1-433A-8C81-2BA4F45D0873}" sibTransId="{F5B20550-395D-4C26-B581-A6FBE75AAB4E}"/>
    <dgm:cxn modelId="{5DA4F65B-7AE9-40DF-B689-5D6C3322C6E5}" type="presOf" srcId="{088B8E1F-6F79-4547-A750-0941467F4006}" destId="{7AF3F692-FB23-4E22-8571-D7238CE3B970}" srcOrd="1" destOrd="0" presId="urn:microsoft.com/office/officeart/2005/8/layout/radial1"/>
    <dgm:cxn modelId="{E2586DC4-9F95-4E5C-94BB-AB2ACD2F8912}" type="presOf" srcId="{C00A3986-C3AB-4899-BB64-B4F0B04BA71F}" destId="{2E0316E6-4BD6-4D80-AE35-83901DF0BC99}" srcOrd="0" destOrd="0" presId="urn:microsoft.com/office/officeart/2005/8/layout/radial1"/>
    <dgm:cxn modelId="{420782BB-7833-4D7F-BFC0-40A1153CBB20}" type="presOf" srcId="{640A56F9-95CB-4F62-A6B9-AE77631305CD}" destId="{3DF3C7AA-E22C-4E0C-A684-D54301AA49DA}" srcOrd="1" destOrd="0" presId="urn:microsoft.com/office/officeart/2005/8/layout/radial1"/>
    <dgm:cxn modelId="{76035E21-7981-4DDF-B213-5D80A06D4A30}" type="presOf" srcId="{040744D2-E269-48E9-9113-CEF9D8A87CE5}" destId="{B7AC591C-BD5D-4F4D-BD72-05197CB5DC44}" srcOrd="0" destOrd="0" presId="urn:microsoft.com/office/officeart/2005/8/layout/radial1"/>
    <dgm:cxn modelId="{E1B67FC6-03E4-4F78-AFE5-DF5F1131A5B9}" type="presOf" srcId="{088B8E1F-6F79-4547-A750-0941467F4006}" destId="{00BC27CC-AC8F-4441-89E3-37666F12212D}" srcOrd="0" destOrd="0" presId="urn:microsoft.com/office/officeart/2005/8/layout/radial1"/>
    <dgm:cxn modelId="{52A923D7-A729-4796-83C3-1C329356865B}" type="presOf" srcId="{5B735D20-79D1-4ED0-BF24-1736F8F58E68}" destId="{2701952A-8E37-487A-8004-6661ED7D8469}" srcOrd="0" destOrd="0" presId="urn:microsoft.com/office/officeart/2005/8/layout/radial1"/>
    <dgm:cxn modelId="{C928EE45-06B0-442F-9297-720419AFE2E6}" srcId="{F21E1A4D-8D29-4661-990C-76D5D68CE309}" destId="{D4A326EE-196E-47CA-A826-2C110C567E85}" srcOrd="4" destOrd="0" parTransId="{5B735D20-79D1-4ED0-BF24-1736F8F58E68}" sibTransId="{9D1B71F9-505F-4C4E-B2A1-873E3D6E544B}"/>
    <dgm:cxn modelId="{7A270892-FACE-483D-ADDA-97C7D74A2F78}" type="presOf" srcId="{DA9910B2-3290-436E-B9A4-0FC0EE09A7C5}" destId="{4CEF27A2-F2EC-48B8-A66F-445F2313D496}" srcOrd="0" destOrd="0" presId="urn:microsoft.com/office/officeart/2005/8/layout/radial1"/>
    <dgm:cxn modelId="{DF0BD3E2-6E02-4D14-B713-CE9423D9089B}" type="presOf" srcId="{F21E1A4D-8D29-4661-990C-76D5D68CE309}" destId="{467609C9-E54D-4072-89C3-EAE8F5ADC37A}" srcOrd="0" destOrd="0" presId="urn:microsoft.com/office/officeart/2005/8/layout/radial1"/>
    <dgm:cxn modelId="{D0726F59-5BCF-406E-99B8-EEFA4549F6EF}" type="presParOf" srcId="{B7AC591C-BD5D-4F4D-BD72-05197CB5DC44}" destId="{467609C9-E54D-4072-89C3-EAE8F5ADC37A}" srcOrd="0" destOrd="0" presId="urn:microsoft.com/office/officeart/2005/8/layout/radial1"/>
    <dgm:cxn modelId="{89F21632-07E9-4D4F-B328-1983FBC1ED12}" type="presParOf" srcId="{B7AC591C-BD5D-4F4D-BD72-05197CB5DC44}" destId="{4CEF27A2-F2EC-48B8-A66F-445F2313D496}" srcOrd="1" destOrd="0" presId="urn:microsoft.com/office/officeart/2005/8/layout/radial1"/>
    <dgm:cxn modelId="{36C7E8E3-FDEF-430E-9BD8-8ADBB160DF40}" type="presParOf" srcId="{4CEF27A2-F2EC-48B8-A66F-445F2313D496}" destId="{E2FF807F-E19A-4C72-96FF-6CD05BF58419}" srcOrd="0" destOrd="0" presId="urn:microsoft.com/office/officeart/2005/8/layout/radial1"/>
    <dgm:cxn modelId="{0F42B1E0-9273-41EC-9A59-485D69127A2A}" type="presParOf" srcId="{B7AC591C-BD5D-4F4D-BD72-05197CB5DC44}" destId="{68F7A553-F71D-42B0-A18B-D90B7DC681D1}" srcOrd="2" destOrd="0" presId="urn:microsoft.com/office/officeart/2005/8/layout/radial1"/>
    <dgm:cxn modelId="{C1BEB582-5998-4B60-8764-B33DAB1AC01F}" type="presParOf" srcId="{B7AC591C-BD5D-4F4D-BD72-05197CB5DC44}" destId="{00BC27CC-AC8F-4441-89E3-37666F12212D}" srcOrd="3" destOrd="0" presId="urn:microsoft.com/office/officeart/2005/8/layout/radial1"/>
    <dgm:cxn modelId="{B67FC299-B30F-4DE2-BA52-C8AB6EE6771B}" type="presParOf" srcId="{00BC27CC-AC8F-4441-89E3-37666F12212D}" destId="{7AF3F692-FB23-4E22-8571-D7238CE3B970}" srcOrd="0" destOrd="0" presId="urn:microsoft.com/office/officeart/2005/8/layout/radial1"/>
    <dgm:cxn modelId="{6D67B832-422C-423E-9D23-0F6A573033AA}" type="presParOf" srcId="{B7AC591C-BD5D-4F4D-BD72-05197CB5DC44}" destId="{ACE35C90-6A06-4E2C-8E6E-72F32BFE04C7}" srcOrd="4" destOrd="0" presId="urn:microsoft.com/office/officeart/2005/8/layout/radial1"/>
    <dgm:cxn modelId="{5DDE27A8-DC8D-4F8C-A96D-FC1F77203D20}" type="presParOf" srcId="{B7AC591C-BD5D-4F4D-BD72-05197CB5DC44}" destId="{94E105C9-63FD-4C57-B58C-04EAEE10979F}" srcOrd="5" destOrd="0" presId="urn:microsoft.com/office/officeart/2005/8/layout/radial1"/>
    <dgm:cxn modelId="{B5B2A705-4C10-41F3-8A03-517173B8D733}" type="presParOf" srcId="{94E105C9-63FD-4C57-B58C-04EAEE10979F}" destId="{3DF3C7AA-E22C-4E0C-A684-D54301AA49DA}" srcOrd="0" destOrd="0" presId="urn:microsoft.com/office/officeart/2005/8/layout/radial1"/>
    <dgm:cxn modelId="{4864EBD6-6255-487F-BB3A-676264D9762A}" type="presParOf" srcId="{B7AC591C-BD5D-4F4D-BD72-05197CB5DC44}" destId="{2E0316E6-4BD6-4D80-AE35-83901DF0BC99}" srcOrd="6" destOrd="0" presId="urn:microsoft.com/office/officeart/2005/8/layout/radial1"/>
    <dgm:cxn modelId="{3F1CBECB-941E-4C67-9561-D684E65B2462}" type="presParOf" srcId="{B7AC591C-BD5D-4F4D-BD72-05197CB5DC44}" destId="{3B548C4D-230D-4BD0-BEE2-BC9CD30E7F85}" srcOrd="7" destOrd="0" presId="urn:microsoft.com/office/officeart/2005/8/layout/radial1"/>
    <dgm:cxn modelId="{CCE96D65-EFFB-4EED-AA37-F5AFF0B6AC2A}" type="presParOf" srcId="{3B548C4D-230D-4BD0-BEE2-BC9CD30E7F85}" destId="{5126454F-F764-4782-B529-F0443D74C8A7}" srcOrd="0" destOrd="0" presId="urn:microsoft.com/office/officeart/2005/8/layout/radial1"/>
    <dgm:cxn modelId="{26F924CA-176B-4A2E-A39A-CE7CA4B2265C}" type="presParOf" srcId="{B7AC591C-BD5D-4F4D-BD72-05197CB5DC44}" destId="{0CCC2126-87A9-498D-A091-12C530C744AA}" srcOrd="8" destOrd="0" presId="urn:microsoft.com/office/officeart/2005/8/layout/radial1"/>
    <dgm:cxn modelId="{FE1B53E1-93B6-4E24-9B5E-AEEFF4C585AE}" type="presParOf" srcId="{B7AC591C-BD5D-4F4D-BD72-05197CB5DC44}" destId="{2701952A-8E37-487A-8004-6661ED7D8469}" srcOrd="9" destOrd="0" presId="urn:microsoft.com/office/officeart/2005/8/layout/radial1"/>
    <dgm:cxn modelId="{94FE1AA1-E454-462E-9585-EB1A06DFAD00}" type="presParOf" srcId="{2701952A-8E37-487A-8004-6661ED7D8469}" destId="{CD5DCFA2-362E-4A88-9F44-CD5CD70161E5}" srcOrd="0" destOrd="0" presId="urn:microsoft.com/office/officeart/2005/8/layout/radial1"/>
    <dgm:cxn modelId="{D7852C94-BF4B-46C4-9FA8-9C7810C4931C}" type="presParOf" srcId="{B7AC591C-BD5D-4F4D-BD72-05197CB5DC44}" destId="{ACD960D5-6EF7-459C-AFFD-477AB94E78DC}" srcOrd="10" destOrd="0" presId="urn:microsoft.com/office/officeart/2005/8/layout/radial1"/>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7609C9-E54D-4072-89C3-EAE8F5ADC37A}">
      <dsp:nvSpPr>
        <dsp:cNvPr id="0" name=""/>
        <dsp:cNvSpPr/>
      </dsp:nvSpPr>
      <dsp:spPr>
        <a:xfrm>
          <a:off x="2425144" y="1312917"/>
          <a:ext cx="1034529" cy="103452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0" kern="1200">
              <a:solidFill>
                <a:sysClr val="windowText" lastClr="000000"/>
              </a:solidFill>
              <a:latin typeface="Times New Roman" panose="02020603050405020304" pitchFamily="18" charset="0"/>
              <a:cs typeface="Times New Roman" panose="02020603050405020304" pitchFamily="18" charset="0"/>
            </a:rPr>
            <a:t>Цифровая экономика</a:t>
          </a:r>
        </a:p>
      </dsp:txBody>
      <dsp:txXfrm>
        <a:off x="2576647" y="1464420"/>
        <a:ext cx="731523" cy="731523"/>
      </dsp:txXfrm>
    </dsp:sp>
    <dsp:sp modelId="{4CEF27A2-F2EC-48B8-A66F-445F2313D496}">
      <dsp:nvSpPr>
        <dsp:cNvPr id="0" name=""/>
        <dsp:cNvSpPr/>
      </dsp:nvSpPr>
      <dsp:spPr>
        <a:xfrm rot="16200000">
          <a:off x="2677612" y="1032292"/>
          <a:ext cx="529593" cy="31655"/>
        </a:xfrm>
        <a:custGeom>
          <a:avLst/>
          <a:gdLst/>
          <a:ahLst/>
          <a:cxnLst/>
          <a:rect l="0" t="0" r="0" b="0"/>
          <a:pathLst>
            <a:path>
              <a:moveTo>
                <a:pt x="0" y="15827"/>
              </a:moveTo>
              <a:lnTo>
                <a:pt x="529593" y="1582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solidFill>
              <a:sysClr val="windowText" lastClr="000000"/>
            </a:solidFill>
            <a:latin typeface="Times New Roman" panose="02020603050405020304" pitchFamily="18" charset="0"/>
            <a:cs typeface="Times New Roman" panose="02020603050405020304" pitchFamily="18" charset="0"/>
          </a:endParaRPr>
        </a:p>
      </dsp:txBody>
      <dsp:txXfrm>
        <a:off x="2929169" y="1034880"/>
        <a:ext cx="26479" cy="26479"/>
      </dsp:txXfrm>
    </dsp:sp>
    <dsp:sp modelId="{68F7A553-F71D-42B0-A18B-D90B7DC681D1}">
      <dsp:nvSpPr>
        <dsp:cNvPr id="0" name=""/>
        <dsp:cNvSpPr/>
      </dsp:nvSpPr>
      <dsp:spPr>
        <a:xfrm>
          <a:off x="1997526" y="182634"/>
          <a:ext cx="1889763" cy="60068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0" kern="1200">
              <a:solidFill>
                <a:sysClr val="windowText" lastClr="000000"/>
              </a:solidFill>
              <a:latin typeface="Times New Roman" panose="02020603050405020304" pitchFamily="18" charset="0"/>
              <a:cs typeface="Times New Roman" panose="02020603050405020304" pitchFamily="18" charset="0"/>
            </a:rPr>
            <a:t>Кибербезопасность</a:t>
          </a:r>
        </a:p>
      </dsp:txBody>
      <dsp:txXfrm>
        <a:off x="2274275" y="270603"/>
        <a:ext cx="1336265" cy="424750"/>
      </dsp:txXfrm>
    </dsp:sp>
    <dsp:sp modelId="{00BC27CC-AC8F-4441-89E3-37666F12212D}">
      <dsp:nvSpPr>
        <dsp:cNvPr id="0" name=""/>
        <dsp:cNvSpPr/>
      </dsp:nvSpPr>
      <dsp:spPr>
        <a:xfrm rot="20774556">
          <a:off x="3437552" y="1630987"/>
          <a:ext cx="507589" cy="31655"/>
        </a:xfrm>
        <a:custGeom>
          <a:avLst/>
          <a:gdLst/>
          <a:ahLst/>
          <a:cxnLst/>
          <a:rect l="0" t="0" r="0" b="0"/>
          <a:pathLst>
            <a:path>
              <a:moveTo>
                <a:pt x="0" y="15827"/>
              </a:moveTo>
              <a:lnTo>
                <a:pt x="507589" y="1582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solidFill>
              <a:sysClr val="windowText" lastClr="000000"/>
            </a:solidFill>
            <a:latin typeface="Times New Roman" panose="02020603050405020304" pitchFamily="18" charset="0"/>
            <a:cs typeface="Times New Roman" panose="02020603050405020304" pitchFamily="18" charset="0"/>
          </a:endParaRPr>
        </a:p>
      </dsp:txBody>
      <dsp:txXfrm>
        <a:off x="3678657" y="1634125"/>
        <a:ext cx="25379" cy="25379"/>
      </dsp:txXfrm>
    </dsp:sp>
    <dsp:sp modelId="{ACE35C90-6A06-4E2C-8E6E-72F32BFE04C7}">
      <dsp:nvSpPr>
        <dsp:cNvPr id="0" name=""/>
        <dsp:cNvSpPr/>
      </dsp:nvSpPr>
      <dsp:spPr>
        <a:xfrm>
          <a:off x="3809590" y="1090138"/>
          <a:ext cx="1666357" cy="64747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0" kern="1200">
              <a:solidFill>
                <a:sysClr val="windowText" lastClr="000000"/>
              </a:solidFill>
              <a:latin typeface="Times New Roman" panose="02020603050405020304" pitchFamily="18" charset="0"/>
              <a:cs typeface="Times New Roman" panose="02020603050405020304" pitchFamily="18" charset="0"/>
            </a:rPr>
            <a:t>Трансграничное сотрудничество</a:t>
          </a:r>
        </a:p>
      </dsp:txBody>
      <dsp:txXfrm>
        <a:off x="4053622" y="1184958"/>
        <a:ext cx="1178293" cy="457830"/>
      </dsp:txXfrm>
    </dsp:sp>
    <dsp:sp modelId="{94E105C9-63FD-4C57-B58C-04EAEE10979F}">
      <dsp:nvSpPr>
        <dsp:cNvPr id="0" name=""/>
        <dsp:cNvSpPr/>
      </dsp:nvSpPr>
      <dsp:spPr>
        <a:xfrm rot="3240000">
          <a:off x="3164248" y="2394157"/>
          <a:ext cx="398824" cy="31655"/>
        </a:xfrm>
        <a:custGeom>
          <a:avLst/>
          <a:gdLst/>
          <a:ahLst/>
          <a:cxnLst/>
          <a:rect l="0" t="0" r="0" b="0"/>
          <a:pathLst>
            <a:path>
              <a:moveTo>
                <a:pt x="0" y="15827"/>
              </a:moveTo>
              <a:lnTo>
                <a:pt x="398824" y="1582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solidFill>
              <a:sysClr val="windowText" lastClr="000000"/>
            </a:solidFill>
            <a:latin typeface="Times New Roman" panose="02020603050405020304" pitchFamily="18" charset="0"/>
            <a:cs typeface="Times New Roman" panose="02020603050405020304" pitchFamily="18" charset="0"/>
          </a:endParaRPr>
        </a:p>
      </dsp:txBody>
      <dsp:txXfrm>
        <a:off x="3353690" y="2400014"/>
        <a:ext cx="19941" cy="19941"/>
      </dsp:txXfrm>
    </dsp:sp>
    <dsp:sp modelId="{2E0316E6-4BD6-4D80-AE35-83901DF0BC99}">
      <dsp:nvSpPr>
        <dsp:cNvPr id="0" name=""/>
        <dsp:cNvSpPr/>
      </dsp:nvSpPr>
      <dsp:spPr>
        <a:xfrm>
          <a:off x="3193728" y="2525237"/>
          <a:ext cx="1081093" cy="78970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0" kern="1200">
              <a:solidFill>
                <a:sysClr val="windowText" lastClr="000000"/>
              </a:solidFill>
              <a:latin typeface="Times New Roman" panose="02020603050405020304" pitchFamily="18" charset="0"/>
              <a:cs typeface="Times New Roman" panose="02020603050405020304" pitchFamily="18" charset="0"/>
            </a:rPr>
            <a:t>Создание общих </a:t>
          </a:r>
          <a:r>
            <a:rPr lang="nl-NL" sz="1200" b="0" kern="1200">
              <a:solidFill>
                <a:sysClr val="windowText" lastClr="000000"/>
              </a:solidFill>
              <a:latin typeface="Times New Roman" panose="02020603050405020304" pitchFamily="18" charset="0"/>
              <a:cs typeface="Times New Roman" panose="02020603050405020304" pitchFamily="18" charset="0"/>
            </a:rPr>
            <a:t>IT-</a:t>
          </a:r>
          <a:r>
            <a:rPr lang="ru-RU" sz="1200" b="0" kern="1200">
              <a:solidFill>
                <a:sysClr val="windowText" lastClr="000000"/>
              </a:solidFill>
              <a:latin typeface="Times New Roman" panose="02020603050405020304" pitchFamily="18" charset="0"/>
              <a:cs typeface="Times New Roman" panose="02020603050405020304" pitchFamily="18" charset="0"/>
            </a:rPr>
            <a:t>платформ </a:t>
          </a:r>
        </a:p>
      </dsp:txBody>
      <dsp:txXfrm>
        <a:off x="3352050" y="2640887"/>
        <a:ext cx="764449" cy="558407"/>
      </dsp:txXfrm>
    </dsp:sp>
    <dsp:sp modelId="{3B548C4D-230D-4BD0-BEE2-BC9CD30E7F85}">
      <dsp:nvSpPr>
        <dsp:cNvPr id="0" name=""/>
        <dsp:cNvSpPr/>
      </dsp:nvSpPr>
      <dsp:spPr>
        <a:xfrm rot="7913938">
          <a:off x="2074005" y="2432758"/>
          <a:ext cx="627123" cy="31655"/>
        </a:xfrm>
        <a:custGeom>
          <a:avLst/>
          <a:gdLst/>
          <a:ahLst/>
          <a:cxnLst/>
          <a:rect l="0" t="0" r="0" b="0"/>
          <a:pathLst>
            <a:path>
              <a:moveTo>
                <a:pt x="0" y="15827"/>
              </a:moveTo>
              <a:lnTo>
                <a:pt x="627123" y="1582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solidFill>
              <a:sysClr val="windowText" lastClr="000000"/>
            </a:solidFill>
            <a:latin typeface="Times New Roman" panose="02020603050405020304" pitchFamily="18" charset="0"/>
            <a:cs typeface="Times New Roman" panose="02020603050405020304" pitchFamily="18" charset="0"/>
          </a:endParaRPr>
        </a:p>
      </dsp:txBody>
      <dsp:txXfrm rot="10800000">
        <a:off x="2371888" y="2432907"/>
        <a:ext cx="31356" cy="31356"/>
      </dsp:txXfrm>
    </dsp:sp>
    <dsp:sp modelId="{0CCC2126-87A9-498D-A091-12C530C744AA}">
      <dsp:nvSpPr>
        <dsp:cNvPr id="0" name=""/>
        <dsp:cNvSpPr/>
      </dsp:nvSpPr>
      <dsp:spPr>
        <a:xfrm>
          <a:off x="1268319" y="2662639"/>
          <a:ext cx="1337718" cy="57586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nl-NL" sz="1200" b="0" kern="1200">
              <a:solidFill>
                <a:sysClr val="windowText" lastClr="000000"/>
              </a:solidFill>
              <a:latin typeface="Times New Roman" panose="02020603050405020304" pitchFamily="18" charset="0"/>
              <a:cs typeface="Times New Roman" panose="02020603050405020304" pitchFamily="18" charset="0"/>
            </a:rPr>
            <a:t>B2B-</a:t>
          </a:r>
          <a:r>
            <a:rPr lang="ru-RU" sz="1200" b="0" kern="1200">
              <a:solidFill>
                <a:sysClr val="windowText" lastClr="000000"/>
              </a:solidFill>
              <a:latin typeface="Times New Roman" panose="02020603050405020304" pitchFamily="18" charset="0"/>
              <a:cs typeface="Times New Roman" panose="02020603050405020304" pitchFamily="18" charset="0"/>
            </a:rPr>
            <a:t>маркетплейсы</a:t>
          </a:r>
        </a:p>
      </dsp:txBody>
      <dsp:txXfrm>
        <a:off x="1464223" y="2746972"/>
        <a:ext cx="945910" cy="407194"/>
      </dsp:txXfrm>
    </dsp:sp>
    <dsp:sp modelId="{2701952A-8E37-487A-8004-6661ED7D8469}">
      <dsp:nvSpPr>
        <dsp:cNvPr id="0" name=""/>
        <dsp:cNvSpPr/>
      </dsp:nvSpPr>
      <dsp:spPr>
        <a:xfrm rot="11779258">
          <a:off x="1910796" y="1592247"/>
          <a:ext cx="546197" cy="31655"/>
        </a:xfrm>
        <a:custGeom>
          <a:avLst/>
          <a:gdLst/>
          <a:ahLst/>
          <a:cxnLst/>
          <a:rect l="0" t="0" r="0" b="0"/>
          <a:pathLst>
            <a:path>
              <a:moveTo>
                <a:pt x="0" y="15827"/>
              </a:moveTo>
              <a:lnTo>
                <a:pt x="546197" y="1582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solidFill>
              <a:sysClr val="windowText" lastClr="000000"/>
            </a:solidFill>
            <a:latin typeface="Times New Roman" panose="02020603050405020304" pitchFamily="18" charset="0"/>
            <a:cs typeface="Times New Roman" panose="02020603050405020304" pitchFamily="18" charset="0"/>
          </a:endParaRPr>
        </a:p>
      </dsp:txBody>
      <dsp:txXfrm rot="10800000">
        <a:off x="2170240" y="1594420"/>
        <a:ext cx="27309" cy="27309"/>
      </dsp:txXfrm>
    </dsp:sp>
    <dsp:sp modelId="{ACD960D5-6EF7-459C-AFFD-477AB94E78DC}">
      <dsp:nvSpPr>
        <dsp:cNvPr id="0" name=""/>
        <dsp:cNvSpPr/>
      </dsp:nvSpPr>
      <dsp:spPr>
        <a:xfrm>
          <a:off x="399061" y="975839"/>
          <a:ext cx="1670712" cy="7084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0" kern="1200">
              <a:solidFill>
                <a:sysClr val="windowText" lastClr="000000"/>
              </a:solidFill>
              <a:latin typeface="Times New Roman" panose="02020603050405020304" pitchFamily="18" charset="0"/>
              <a:cs typeface="Times New Roman" panose="02020603050405020304" pitchFamily="18" charset="0"/>
            </a:rPr>
            <a:t>Цифровизация государственных услуг</a:t>
          </a:r>
        </a:p>
      </dsp:txBody>
      <dsp:txXfrm>
        <a:off x="643731" y="1079585"/>
        <a:ext cx="1181372" cy="500932"/>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TotalTime>
  <Pages>4</Pages>
  <Words>490</Words>
  <Characters>2796</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Ольга</cp:lastModifiedBy>
  <cp:revision>7</cp:revision>
  <dcterms:created xsi:type="dcterms:W3CDTF">2018-06-18T18:01:00Z</dcterms:created>
  <dcterms:modified xsi:type="dcterms:W3CDTF">2018-06-18T19:16:00Z</dcterms:modified>
</cp:coreProperties>
</file>