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4E88" w:rsidRPr="00564E88" w:rsidRDefault="00564E88" w:rsidP="00564E88">
      <w:pPr>
        <w:spacing w:after="0" w:line="240" w:lineRule="auto"/>
        <w:rPr>
          <w:rFonts w:ascii="Times New Roman" w:eastAsia="Times New Roman" w:hAnsi="Times New Roman" w:cs="Times New Roman"/>
          <w:b/>
          <w:sz w:val="24"/>
          <w:szCs w:val="24"/>
          <w:lang w:eastAsia="ru-RU"/>
        </w:rPr>
      </w:pPr>
      <w:r w:rsidRPr="00564E88">
        <w:rPr>
          <w:rFonts w:ascii="Times New Roman" w:eastAsia="Times New Roman" w:hAnsi="Times New Roman" w:cs="Times New Roman"/>
          <w:b/>
          <w:sz w:val="24"/>
          <w:szCs w:val="24"/>
          <w:lang w:eastAsia="ru-RU"/>
        </w:rPr>
        <w:t>УДК 330.341;332.1/ ББК 65.206</w:t>
      </w:r>
    </w:p>
    <w:p w:rsidR="00564E88" w:rsidRPr="00564E88" w:rsidRDefault="00564E88" w:rsidP="00564E88">
      <w:pPr>
        <w:spacing w:after="0" w:line="240" w:lineRule="auto"/>
        <w:jc w:val="right"/>
        <w:rPr>
          <w:rFonts w:ascii="Times New Roman" w:eastAsia="Times New Roman" w:hAnsi="Times New Roman" w:cs="Times New Roman"/>
          <w:b/>
          <w:sz w:val="24"/>
          <w:szCs w:val="24"/>
          <w:lang w:eastAsia="ru-RU"/>
        </w:rPr>
      </w:pPr>
      <w:r w:rsidRPr="00564E88">
        <w:rPr>
          <w:rFonts w:ascii="Times New Roman" w:eastAsia="Times New Roman" w:hAnsi="Times New Roman" w:cs="Times New Roman"/>
          <w:b/>
          <w:sz w:val="24"/>
          <w:szCs w:val="24"/>
          <w:lang w:eastAsia="ru-RU"/>
        </w:rPr>
        <w:t>Косыгина К.Е.</w:t>
      </w:r>
    </w:p>
    <w:p w:rsidR="00564E88" w:rsidRDefault="00564E88" w:rsidP="00BD41E1">
      <w:pPr>
        <w:spacing w:after="0" w:line="240" w:lineRule="auto"/>
        <w:ind w:firstLine="567"/>
        <w:jc w:val="center"/>
        <w:rPr>
          <w:rFonts w:ascii="Times New Roman" w:eastAsia="Times New Roman" w:hAnsi="Times New Roman" w:cs="Times New Roman"/>
          <w:b/>
          <w:sz w:val="24"/>
          <w:szCs w:val="24"/>
          <w:lang w:eastAsia="ru-RU"/>
        </w:rPr>
      </w:pPr>
    </w:p>
    <w:p w:rsidR="0072074E" w:rsidRPr="006B47FA" w:rsidRDefault="00E90119" w:rsidP="00BD41E1">
      <w:pPr>
        <w:spacing w:after="0" w:line="240" w:lineRule="auto"/>
        <w:ind w:firstLine="567"/>
        <w:jc w:val="center"/>
        <w:rPr>
          <w:rFonts w:ascii="Times New Roman Полужирный" w:eastAsia="Times New Roman" w:hAnsi="Times New Roman Полужирный" w:cs="Times New Roman"/>
          <w:b/>
          <w:caps/>
          <w:sz w:val="24"/>
          <w:szCs w:val="24"/>
          <w:lang w:eastAsia="ru-RU"/>
        </w:rPr>
      </w:pPr>
      <w:r>
        <w:rPr>
          <w:rFonts w:ascii="Times New Roman Полужирный" w:eastAsia="Times New Roman" w:hAnsi="Times New Roman Полужирный" w:cs="Times New Roman"/>
          <w:b/>
          <w:caps/>
          <w:sz w:val="24"/>
          <w:szCs w:val="24"/>
          <w:lang w:eastAsia="ru-RU"/>
        </w:rPr>
        <w:t>Н</w:t>
      </w:r>
      <w:r w:rsidRPr="00E90119">
        <w:rPr>
          <w:rFonts w:ascii="Times New Roman Полужирный" w:eastAsia="Times New Roman" w:hAnsi="Times New Roman Полужирный" w:cs="Times New Roman"/>
          <w:b/>
          <w:caps/>
          <w:sz w:val="24"/>
          <w:szCs w:val="24"/>
          <w:lang w:eastAsia="ru-RU"/>
        </w:rPr>
        <w:t>екоммерческий сектор</w:t>
      </w:r>
      <w:r w:rsidR="006B47FA">
        <w:rPr>
          <w:rFonts w:ascii="Times New Roman Полужирный" w:eastAsia="Times New Roman" w:hAnsi="Times New Roman Полужирный" w:cs="Times New Roman"/>
          <w:b/>
          <w:caps/>
          <w:sz w:val="24"/>
          <w:szCs w:val="24"/>
          <w:lang w:eastAsia="ru-RU"/>
        </w:rPr>
        <w:t xml:space="preserve"> как электоральн</w:t>
      </w:r>
      <w:r w:rsidR="006B47FA" w:rsidRPr="006B47FA">
        <w:rPr>
          <w:rFonts w:ascii="Times New Roman Полужирный" w:eastAsia="Times New Roman" w:hAnsi="Times New Roman Полужирный" w:cs="Times New Roman"/>
          <w:b/>
          <w:caps/>
          <w:sz w:val="24"/>
          <w:szCs w:val="24"/>
          <w:lang w:eastAsia="ru-RU"/>
        </w:rPr>
        <w:t>ый</w:t>
      </w:r>
      <w:r w:rsidR="00BD41E1" w:rsidRPr="006B47FA">
        <w:rPr>
          <w:rFonts w:ascii="Times New Roman Полужирный" w:eastAsia="Times New Roman" w:hAnsi="Times New Roman Полужирный" w:cs="Times New Roman"/>
          <w:b/>
          <w:caps/>
          <w:sz w:val="24"/>
          <w:szCs w:val="24"/>
          <w:lang w:eastAsia="ru-RU"/>
        </w:rPr>
        <w:t xml:space="preserve"> ресурс</w:t>
      </w:r>
    </w:p>
    <w:p w:rsidR="00BD41E1" w:rsidRPr="006B47FA" w:rsidRDefault="00BD41E1" w:rsidP="006B47FA">
      <w:pPr>
        <w:spacing w:after="0" w:line="240" w:lineRule="auto"/>
        <w:rPr>
          <w:rFonts w:ascii="Times New Roman" w:eastAsia="Times New Roman" w:hAnsi="Times New Roman" w:cs="Times New Roman"/>
          <w:b/>
          <w:sz w:val="24"/>
          <w:szCs w:val="24"/>
          <w:lang w:val="en-US" w:eastAsia="ru-RU"/>
        </w:rPr>
      </w:pPr>
    </w:p>
    <w:p w:rsidR="00BD41E1" w:rsidRPr="00BD41E1" w:rsidRDefault="00564E88" w:rsidP="00220777">
      <w:pPr>
        <w:spacing w:after="0" w:line="240" w:lineRule="auto"/>
        <w:ind w:firstLine="567"/>
        <w:jc w:val="both"/>
        <w:rPr>
          <w:rFonts w:ascii="Times New Roman" w:eastAsia="Times New Roman" w:hAnsi="Times New Roman" w:cs="Times New Roman"/>
          <w:i/>
          <w:color w:val="000000"/>
          <w:sz w:val="24"/>
          <w:szCs w:val="24"/>
          <w:shd w:val="clear" w:color="auto" w:fill="FFFFFF"/>
          <w:lang w:eastAsia="ru-RU"/>
        </w:rPr>
      </w:pPr>
      <w:r w:rsidRPr="00564E88">
        <w:rPr>
          <w:rFonts w:ascii="Times New Roman" w:eastAsia="Times New Roman" w:hAnsi="Times New Roman" w:cs="Times New Roman"/>
          <w:b/>
          <w:color w:val="000000"/>
          <w:sz w:val="24"/>
          <w:szCs w:val="24"/>
          <w:shd w:val="clear" w:color="auto" w:fill="FFFFFF"/>
          <w:lang w:eastAsia="ru-RU"/>
        </w:rPr>
        <w:t>Аннотация:</w:t>
      </w:r>
      <w:r w:rsidRPr="00564E88">
        <w:rPr>
          <w:rFonts w:ascii="Times New Roman" w:eastAsia="Times New Roman" w:hAnsi="Times New Roman" w:cs="Times New Roman"/>
          <w:i/>
          <w:color w:val="000000"/>
          <w:sz w:val="24"/>
          <w:szCs w:val="24"/>
          <w:shd w:val="clear" w:color="auto" w:fill="FFFFFF"/>
          <w:lang w:eastAsia="ru-RU"/>
        </w:rPr>
        <w:t xml:space="preserve"> </w:t>
      </w:r>
      <w:r w:rsidR="00BD41E1" w:rsidRPr="00BD41E1">
        <w:rPr>
          <w:rFonts w:ascii="Times New Roman" w:eastAsia="Times New Roman" w:hAnsi="Times New Roman" w:cs="Times New Roman"/>
          <w:i/>
          <w:color w:val="000000"/>
          <w:sz w:val="24"/>
          <w:szCs w:val="24"/>
          <w:shd w:val="clear" w:color="auto" w:fill="FFFFFF"/>
          <w:lang w:eastAsia="ru-RU"/>
        </w:rPr>
        <w:t xml:space="preserve">На основе зарубежных исследований, статистических данных, а также мониторинга общественного мнения </w:t>
      </w:r>
      <w:proofErr w:type="spellStart"/>
      <w:r w:rsidR="00BD41E1" w:rsidRPr="00BD41E1">
        <w:rPr>
          <w:rFonts w:ascii="Times New Roman" w:eastAsia="Times New Roman" w:hAnsi="Times New Roman" w:cs="Times New Roman"/>
          <w:i/>
          <w:color w:val="000000"/>
          <w:sz w:val="24"/>
          <w:szCs w:val="24"/>
          <w:shd w:val="clear" w:color="auto" w:fill="FFFFFF"/>
          <w:lang w:eastAsia="ru-RU"/>
        </w:rPr>
        <w:t>ВолНЦ</w:t>
      </w:r>
      <w:proofErr w:type="spellEnd"/>
      <w:r w:rsidR="00BD41E1" w:rsidRPr="00BD41E1">
        <w:rPr>
          <w:rFonts w:ascii="Times New Roman" w:eastAsia="Times New Roman" w:hAnsi="Times New Roman" w:cs="Times New Roman"/>
          <w:i/>
          <w:color w:val="000000"/>
          <w:sz w:val="24"/>
          <w:szCs w:val="24"/>
          <w:shd w:val="clear" w:color="auto" w:fill="FFFFFF"/>
          <w:lang w:eastAsia="ru-RU"/>
        </w:rPr>
        <w:t xml:space="preserve"> РАН, обоснована целесообразность вовлечения некоммерческого сектора в избирательный процесс с целью повышения избирательной активности граждан.</w:t>
      </w:r>
      <w:r w:rsidR="00BD41E1">
        <w:rPr>
          <w:rFonts w:ascii="Times New Roman" w:eastAsia="Times New Roman" w:hAnsi="Times New Roman" w:cs="Times New Roman"/>
          <w:i/>
          <w:color w:val="000000"/>
          <w:sz w:val="24"/>
          <w:szCs w:val="24"/>
          <w:shd w:val="clear" w:color="auto" w:fill="FFFFFF"/>
          <w:lang w:eastAsia="ru-RU"/>
        </w:rPr>
        <w:t xml:space="preserve"> С</w:t>
      </w:r>
      <w:r w:rsidR="00BD41E1" w:rsidRPr="00BD41E1">
        <w:rPr>
          <w:rFonts w:ascii="Times New Roman" w:eastAsia="Times New Roman" w:hAnsi="Times New Roman" w:cs="Times New Roman"/>
          <w:i/>
          <w:color w:val="000000"/>
          <w:sz w:val="24"/>
          <w:szCs w:val="24"/>
          <w:shd w:val="clear" w:color="auto" w:fill="FFFFFF"/>
          <w:lang w:eastAsia="ru-RU"/>
        </w:rPr>
        <w:t>формулированы рекомендации органам государственной власти, избирательным комиссиям, общественным палатам по пр</w:t>
      </w:r>
      <w:r w:rsidR="00E90119">
        <w:rPr>
          <w:rFonts w:ascii="Times New Roman" w:eastAsia="Times New Roman" w:hAnsi="Times New Roman" w:cs="Times New Roman"/>
          <w:i/>
          <w:color w:val="000000"/>
          <w:sz w:val="24"/>
          <w:szCs w:val="24"/>
          <w:shd w:val="clear" w:color="auto" w:fill="FFFFFF"/>
          <w:lang w:eastAsia="ru-RU"/>
        </w:rPr>
        <w:t>ивлечению некоммерческих организа</w:t>
      </w:r>
      <w:bookmarkStart w:id="0" w:name="_GoBack"/>
      <w:bookmarkEnd w:id="0"/>
      <w:r w:rsidR="00E90119">
        <w:rPr>
          <w:rFonts w:ascii="Times New Roman" w:eastAsia="Times New Roman" w:hAnsi="Times New Roman" w:cs="Times New Roman"/>
          <w:i/>
          <w:color w:val="000000"/>
          <w:sz w:val="24"/>
          <w:szCs w:val="24"/>
          <w:shd w:val="clear" w:color="auto" w:fill="FFFFFF"/>
          <w:lang w:eastAsia="ru-RU"/>
        </w:rPr>
        <w:t>ций (далее НКО)</w:t>
      </w:r>
      <w:r w:rsidR="00BD41E1" w:rsidRPr="00BD41E1">
        <w:rPr>
          <w:rFonts w:ascii="Times New Roman" w:eastAsia="Times New Roman" w:hAnsi="Times New Roman" w:cs="Times New Roman"/>
          <w:i/>
          <w:color w:val="000000"/>
          <w:sz w:val="24"/>
          <w:szCs w:val="24"/>
          <w:shd w:val="clear" w:color="auto" w:fill="FFFFFF"/>
          <w:lang w:eastAsia="ru-RU"/>
        </w:rPr>
        <w:t xml:space="preserve"> к избирательному процессу.</w:t>
      </w:r>
    </w:p>
    <w:p w:rsidR="00BD41E1" w:rsidRDefault="00564E88" w:rsidP="00220777">
      <w:pPr>
        <w:spacing w:after="0" w:line="240" w:lineRule="auto"/>
        <w:ind w:firstLine="567"/>
        <w:jc w:val="both"/>
        <w:rPr>
          <w:rFonts w:ascii="Times New Roman" w:eastAsia="Times New Roman" w:hAnsi="Times New Roman" w:cs="Times New Roman"/>
          <w:i/>
          <w:sz w:val="24"/>
          <w:szCs w:val="24"/>
          <w:lang w:eastAsia="ru-RU"/>
        </w:rPr>
      </w:pPr>
      <w:r w:rsidRPr="00564E88">
        <w:rPr>
          <w:rFonts w:ascii="Times New Roman" w:eastAsia="Times New Roman" w:hAnsi="Times New Roman" w:cs="Times New Roman"/>
          <w:b/>
          <w:sz w:val="24"/>
          <w:szCs w:val="24"/>
          <w:lang w:eastAsia="ru-RU"/>
        </w:rPr>
        <w:t>Ключевые слова:</w:t>
      </w:r>
      <w:r w:rsidRPr="00564E88">
        <w:rPr>
          <w:rFonts w:ascii="Times New Roman" w:eastAsia="Times New Roman" w:hAnsi="Times New Roman" w:cs="Times New Roman"/>
          <w:sz w:val="24"/>
          <w:szCs w:val="24"/>
          <w:lang w:eastAsia="ru-RU"/>
        </w:rPr>
        <w:t xml:space="preserve"> </w:t>
      </w:r>
      <w:r w:rsidRPr="00564E88">
        <w:rPr>
          <w:rFonts w:ascii="Times New Roman" w:eastAsia="Times New Roman" w:hAnsi="Times New Roman" w:cs="Times New Roman"/>
          <w:i/>
          <w:sz w:val="24"/>
          <w:szCs w:val="24"/>
          <w:lang w:eastAsia="ru-RU"/>
        </w:rPr>
        <w:t>некоммерческие организации,</w:t>
      </w:r>
      <w:r>
        <w:rPr>
          <w:rFonts w:ascii="Times New Roman" w:eastAsia="Times New Roman" w:hAnsi="Times New Roman" w:cs="Times New Roman"/>
          <w:i/>
          <w:sz w:val="24"/>
          <w:szCs w:val="24"/>
          <w:lang w:eastAsia="ru-RU"/>
        </w:rPr>
        <w:t xml:space="preserve"> избирательный процесс, электоральная активность, активность граждан</w:t>
      </w:r>
    </w:p>
    <w:p w:rsidR="00564E88" w:rsidRPr="00564E88" w:rsidRDefault="00564E88" w:rsidP="00220777">
      <w:pPr>
        <w:spacing w:after="0" w:line="240" w:lineRule="auto"/>
        <w:ind w:firstLine="567"/>
        <w:jc w:val="both"/>
        <w:rPr>
          <w:rFonts w:ascii="Times New Roman" w:eastAsia="Times New Roman" w:hAnsi="Times New Roman" w:cs="Times New Roman"/>
          <w:i/>
          <w:sz w:val="24"/>
          <w:szCs w:val="24"/>
          <w:lang w:eastAsia="ru-RU"/>
        </w:rPr>
      </w:pPr>
    </w:p>
    <w:p w:rsidR="00220777" w:rsidRPr="00220777" w:rsidRDefault="00220777" w:rsidP="00220777">
      <w:pPr>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w:t>
      </w:r>
      <w:r w:rsidRPr="00220777">
        <w:rPr>
          <w:rFonts w:ascii="Times New Roman" w:eastAsia="Times New Roman" w:hAnsi="Times New Roman" w:cs="Times New Roman"/>
          <w:sz w:val="24"/>
          <w:szCs w:val="24"/>
          <w:lang w:eastAsia="ru-RU"/>
        </w:rPr>
        <w:t>екоммерческий сектор является крупным игр</w:t>
      </w:r>
      <w:r>
        <w:rPr>
          <w:rFonts w:ascii="Times New Roman" w:eastAsia="Times New Roman" w:hAnsi="Times New Roman" w:cs="Times New Roman"/>
          <w:sz w:val="24"/>
          <w:szCs w:val="24"/>
          <w:lang w:eastAsia="ru-RU"/>
        </w:rPr>
        <w:t>оком в процессах, происходящих в</w:t>
      </w:r>
      <w:r w:rsidRPr="00220777">
        <w:rPr>
          <w:rFonts w:ascii="Times New Roman" w:eastAsia="Times New Roman" w:hAnsi="Times New Roman" w:cs="Times New Roman"/>
          <w:sz w:val="24"/>
          <w:szCs w:val="24"/>
          <w:lang w:eastAsia="ru-RU"/>
        </w:rPr>
        <w:t xml:space="preserve"> российском обществе, масштабы распространения НКО увеличиваются с каждым годом и не брать его «на заметку» в повышении электоральной активности было бы ошибочным.</w:t>
      </w:r>
    </w:p>
    <w:p w:rsidR="00220777" w:rsidRPr="00220777" w:rsidRDefault="00220777" w:rsidP="00220777">
      <w:pPr>
        <w:shd w:val="clear" w:color="auto" w:fill="FFFFFF"/>
        <w:spacing w:after="0" w:line="240" w:lineRule="auto"/>
        <w:ind w:firstLine="567"/>
        <w:jc w:val="both"/>
        <w:textAlignment w:val="baseline"/>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Развитые страны понимают, эту тенденцию и активно привлекают НКО для мобилизации граждан к участию в выборах. В этой связи интересным является пример Налогового законодательства США, где подчеркивается разница между участием НКО в политических кампаниях, которое разрешено, и вмешательством НКО, которое строго запрещено. Вмешательство включает</w:t>
      </w:r>
      <w:r w:rsidRPr="00220777">
        <w:rPr>
          <w:rFonts w:ascii="Times New Roman" w:eastAsia="Times New Roman" w:hAnsi="Times New Roman" w:cs="Times New Roman"/>
          <w:color w:val="C00000"/>
          <w:sz w:val="24"/>
          <w:szCs w:val="24"/>
        </w:rPr>
        <w:t xml:space="preserve"> </w:t>
      </w:r>
      <w:r w:rsidRPr="00220777">
        <w:rPr>
          <w:rFonts w:ascii="Times New Roman" w:eastAsia="Times New Roman" w:hAnsi="Times New Roman" w:cs="Times New Roman"/>
          <w:sz w:val="24"/>
          <w:szCs w:val="24"/>
          <w:lang w:eastAsia="ru-RU"/>
        </w:rPr>
        <w:t>любые действия, которые либо поддерживают, либо противостоят одному или нескольким кандидатам в политической кампании.</w:t>
      </w:r>
      <w:r w:rsidRPr="00220777">
        <w:rPr>
          <w:rFonts w:ascii="Times New Roman" w:eastAsia="Times New Roman" w:hAnsi="Times New Roman" w:cs="Times New Roman"/>
          <w:color w:val="C00000"/>
          <w:sz w:val="24"/>
          <w:szCs w:val="24"/>
        </w:rPr>
        <w:t xml:space="preserve"> </w:t>
      </w:r>
      <w:r w:rsidRPr="00220777">
        <w:rPr>
          <w:rFonts w:ascii="Times New Roman" w:eastAsia="Times New Roman" w:hAnsi="Times New Roman" w:cs="Times New Roman"/>
          <w:sz w:val="24"/>
          <w:szCs w:val="24"/>
          <w:lang w:eastAsia="ru-RU"/>
        </w:rPr>
        <w:t>Иными словами, все мероприятия НКО должны носить беспартийное содержание.</w:t>
      </w:r>
      <w:r w:rsidRPr="00220777">
        <w:rPr>
          <w:rFonts w:ascii="Times New Roman" w:eastAsia="Times New Roman" w:hAnsi="Times New Roman" w:cs="Times New Roman"/>
          <w:color w:val="C00000"/>
          <w:sz w:val="24"/>
          <w:szCs w:val="24"/>
        </w:rPr>
        <w:t xml:space="preserve"> </w:t>
      </w:r>
      <w:r w:rsidRPr="00220777">
        <w:rPr>
          <w:rFonts w:ascii="Times New Roman" w:eastAsia="Times New Roman" w:hAnsi="Times New Roman" w:cs="Times New Roman"/>
          <w:sz w:val="24"/>
          <w:szCs w:val="24"/>
          <w:lang w:eastAsia="ru-RU"/>
        </w:rPr>
        <w:t>Данное требование направляет прямую деятельность НКО по голосованию на повышение явки избирателей. Налоговое законодательство США также гласит, что, хотя НКО могут занимать публичную позицию по любому вопросу государственной политики, им не разрешается явно привязывать конкретный вопрос к кандидату. Последний представляет собой политическое вмешательство. Таким образом, НКО не могут заниматься следующими видами деятельности: одобрять конкретных кандидатов; финансировать предвыборную кампанию; производить расходы от имени кандидатов; предоставлять свои информационные ресурсы и списки рассылки кандидатам; просить кандидатов подписать обещания по какому-либо вопросу</w:t>
      </w:r>
      <w:r w:rsidRPr="00220777">
        <w:rPr>
          <w:rFonts w:ascii="Times New Roman" w:eastAsia="Times New Roman" w:hAnsi="Times New Roman" w:cs="Times New Roman"/>
          <w:sz w:val="24"/>
          <w:szCs w:val="24"/>
          <w:vertAlign w:val="superscript"/>
          <w:lang w:eastAsia="ru-RU"/>
        </w:rPr>
        <w:footnoteReference w:id="1"/>
      </w:r>
      <w:r w:rsidRPr="00220777">
        <w:rPr>
          <w:rFonts w:ascii="Times New Roman" w:eastAsia="Times New Roman" w:hAnsi="Times New Roman" w:cs="Times New Roman"/>
          <w:sz w:val="24"/>
          <w:szCs w:val="24"/>
          <w:lang w:eastAsia="ru-RU"/>
        </w:rPr>
        <w:t>. Вместе с тем закон четко определяет, что НКО могут обучать избирателей процессу голосования; привлекать сотрудников в качестве интервьюеров или переводчиков; просвещать кандидатов по вопросам избирательного права; проводить юридические консультации во время выборов; напоминать населению о голосовании; организовывать орган для координации усилий по мобилизации избирателей.</w:t>
      </w:r>
    </w:p>
    <w:p w:rsidR="00220777" w:rsidRPr="00220777" w:rsidRDefault="00220777" w:rsidP="00220777">
      <w:pPr>
        <w:shd w:val="clear" w:color="auto" w:fill="FFFFFF"/>
        <w:spacing w:after="0" w:line="240" w:lineRule="auto"/>
        <w:ind w:firstLine="567"/>
        <w:jc w:val="both"/>
        <w:textAlignment w:val="baseline"/>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В российском законодательстве на сегодняшний день отсутствуют подобного рода требования, за исключением закона «О мерах воздействия на лиц, причастных к нарушениям основополагающих прав и свобод человека, прав и свобод граждан Российской Федерации»</w:t>
      </w:r>
      <w:r w:rsidRPr="00220777">
        <w:rPr>
          <w:rFonts w:ascii="Times New Roman" w:eastAsia="Times New Roman" w:hAnsi="Times New Roman" w:cs="Times New Roman"/>
          <w:sz w:val="24"/>
          <w:szCs w:val="24"/>
          <w:vertAlign w:val="superscript"/>
          <w:lang w:eastAsia="ru-RU"/>
        </w:rPr>
        <w:footnoteReference w:id="2"/>
      </w:r>
      <w:r w:rsidRPr="00220777">
        <w:rPr>
          <w:rFonts w:ascii="Times New Roman" w:eastAsia="Times New Roman" w:hAnsi="Times New Roman" w:cs="Times New Roman"/>
          <w:sz w:val="24"/>
          <w:szCs w:val="24"/>
          <w:lang w:eastAsia="ru-RU"/>
        </w:rPr>
        <w:t xml:space="preserve">. Согласно документу, вмешательством в выборы будет считаться деятельность иностранной организации, способствующая или препятствующая выдвижению кандидатов, избранию кандидатов, проведению референдума, достижению определенных результатов на выборах, и другие меры. </w:t>
      </w:r>
    </w:p>
    <w:p w:rsidR="00220777" w:rsidRPr="00220777" w:rsidRDefault="00220777" w:rsidP="00220777">
      <w:pPr>
        <w:shd w:val="clear" w:color="auto" w:fill="FFFFFF"/>
        <w:spacing w:after="0" w:line="240" w:lineRule="auto"/>
        <w:ind w:firstLine="567"/>
        <w:jc w:val="both"/>
        <w:textAlignment w:val="baseline"/>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 xml:space="preserve">Учитывая опыт зарубежных стран, напрашивается вопрос: может быть органам власти следует ввести аналогичные нормы с учетом российских условий, закрепляющие права НКО на участие в выборах в части повышения явки избирателей? </w:t>
      </w:r>
    </w:p>
    <w:p w:rsidR="00220777" w:rsidRPr="00220777" w:rsidRDefault="00220777" w:rsidP="00220777">
      <w:pPr>
        <w:spacing w:after="0" w:line="240" w:lineRule="auto"/>
        <w:ind w:firstLine="567"/>
        <w:jc w:val="both"/>
        <w:rPr>
          <w:rFonts w:ascii="Times New Roman" w:eastAsia="Times New Roman" w:hAnsi="Times New Roman" w:cs="Times New Roman"/>
          <w:i/>
          <w:sz w:val="24"/>
          <w:szCs w:val="24"/>
          <w:lang w:eastAsia="ru-RU"/>
        </w:rPr>
      </w:pPr>
      <w:r w:rsidRPr="00220777">
        <w:rPr>
          <w:rFonts w:ascii="Times New Roman" w:eastAsia="Times New Roman" w:hAnsi="Times New Roman" w:cs="Times New Roman"/>
          <w:sz w:val="24"/>
          <w:szCs w:val="24"/>
          <w:lang w:eastAsia="ru-RU"/>
        </w:rPr>
        <w:lastRenderedPageBreak/>
        <w:t xml:space="preserve">Напомним, что главные цели работы НКО </w:t>
      </w:r>
      <w:r w:rsidRPr="00220777">
        <w:rPr>
          <w:rFonts w:ascii="Times New Roman" w:eastAsia="Times New Roman" w:hAnsi="Times New Roman" w:cs="Times New Roman"/>
          <w:color w:val="000000"/>
          <w:sz w:val="24"/>
          <w:szCs w:val="24"/>
          <w:lang w:eastAsia="ru-RU"/>
        </w:rPr>
        <w:t xml:space="preserve">– </w:t>
      </w:r>
      <w:r w:rsidRPr="00220777">
        <w:rPr>
          <w:rFonts w:ascii="Times New Roman" w:eastAsia="Times New Roman" w:hAnsi="Times New Roman" w:cs="Times New Roman"/>
          <w:sz w:val="24"/>
          <w:szCs w:val="24"/>
          <w:lang w:eastAsia="ru-RU"/>
        </w:rPr>
        <w:t xml:space="preserve">социальные и благотворительные.  Эти организации обслуживают социально уязвимые слои населения, что доказывают данные социологического исследования проведенного в Вологодской области. Большинство НКО региона, охваченных исследованием, в качестве основной определяют семью (51%), молодежь и подростков (46%). Руководители также отметили, что работают с женщинами (43%) и детьми (34%), в отдельную группу выделяются дети-инвалиды и дети с тяжелыми заболеваниями (14%). Значительное количество организаций оказывают помощь пожилым людям (34%) </w:t>
      </w:r>
      <w:r>
        <w:rPr>
          <w:rFonts w:ascii="Times New Roman" w:eastAsia="Times New Roman" w:hAnsi="Times New Roman" w:cs="Times New Roman"/>
          <w:i/>
          <w:sz w:val="24"/>
          <w:szCs w:val="24"/>
          <w:lang w:eastAsia="ru-RU"/>
        </w:rPr>
        <w:t>(табл. 1</w:t>
      </w:r>
      <w:r w:rsidRPr="00220777">
        <w:rPr>
          <w:rFonts w:ascii="Times New Roman" w:eastAsia="Times New Roman" w:hAnsi="Times New Roman" w:cs="Times New Roman"/>
          <w:i/>
          <w:sz w:val="24"/>
          <w:szCs w:val="24"/>
          <w:lang w:eastAsia="ru-RU"/>
        </w:rPr>
        <w:t>.).</w:t>
      </w:r>
    </w:p>
    <w:p w:rsidR="00220777" w:rsidRPr="00220777" w:rsidRDefault="00220777" w:rsidP="00220777">
      <w:pPr>
        <w:spacing w:after="0" w:line="240" w:lineRule="auto"/>
        <w:ind w:firstLine="567"/>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 xml:space="preserve">Таблица  </w:t>
      </w:r>
      <w:r>
        <w:rPr>
          <w:rFonts w:ascii="Times New Roman" w:eastAsia="Times New Roman" w:hAnsi="Times New Roman" w:cs="Times New Roman"/>
          <w:sz w:val="24"/>
          <w:szCs w:val="24"/>
          <w:lang w:eastAsia="ru-RU"/>
        </w:rPr>
        <w:t>1.</w:t>
      </w:r>
      <w:r w:rsidRPr="00220777">
        <w:rPr>
          <w:rFonts w:ascii="Times New Roman" w:eastAsia="Times New Roman" w:hAnsi="Times New Roman" w:cs="Times New Roman"/>
          <w:sz w:val="24"/>
          <w:szCs w:val="24"/>
          <w:lang w:eastAsia="ru-RU"/>
        </w:rPr>
        <w:t xml:space="preserve"> – Распределение ответов руководителей НКО на вопрос: «Целевые группы, с которыми работает Ваша организация?»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7544"/>
        <w:gridCol w:w="1588"/>
      </w:tblGrid>
      <w:tr w:rsidR="00220777" w:rsidRPr="00220777" w:rsidTr="0072074E">
        <w:trPr>
          <w:trHeight w:val="20"/>
          <w:jc w:val="center"/>
        </w:trPr>
        <w:tc>
          <w:tcPr>
            <w:tcW w:w="7544"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Вариант ответа</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в %</w:t>
            </w:r>
          </w:p>
        </w:tc>
      </w:tr>
      <w:tr w:rsidR="00220777" w:rsidRPr="00220777" w:rsidTr="0072074E">
        <w:trPr>
          <w:trHeight w:val="20"/>
          <w:jc w:val="center"/>
        </w:trPr>
        <w:tc>
          <w:tcPr>
            <w:tcW w:w="7544" w:type="dxa"/>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Семьи</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51,4</w:t>
            </w:r>
          </w:p>
        </w:tc>
      </w:tr>
      <w:tr w:rsidR="00220777" w:rsidRPr="00220777" w:rsidTr="0072074E">
        <w:trPr>
          <w:trHeight w:val="20"/>
          <w:jc w:val="center"/>
        </w:trPr>
        <w:tc>
          <w:tcPr>
            <w:tcW w:w="7544" w:type="dxa"/>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Подростки и молодёжь</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45,7</w:t>
            </w:r>
          </w:p>
        </w:tc>
      </w:tr>
      <w:tr w:rsidR="00220777" w:rsidRPr="00220777" w:rsidTr="0072074E">
        <w:trPr>
          <w:trHeight w:val="20"/>
          <w:jc w:val="center"/>
        </w:trPr>
        <w:tc>
          <w:tcPr>
            <w:tcW w:w="7544" w:type="dxa"/>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Женщины</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42,9</w:t>
            </w:r>
          </w:p>
        </w:tc>
      </w:tr>
      <w:tr w:rsidR="00220777" w:rsidRPr="00220777" w:rsidTr="0072074E">
        <w:trPr>
          <w:trHeight w:val="20"/>
          <w:jc w:val="center"/>
        </w:trPr>
        <w:tc>
          <w:tcPr>
            <w:tcW w:w="7544" w:type="dxa"/>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Другие группы</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42,9</w:t>
            </w:r>
          </w:p>
        </w:tc>
      </w:tr>
      <w:tr w:rsidR="00220777" w:rsidRPr="00220777" w:rsidTr="0072074E">
        <w:trPr>
          <w:trHeight w:val="20"/>
          <w:jc w:val="center"/>
        </w:trPr>
        <w:tc>
          <w:tcPr>
            <w:tcW w:w="7544" w:type="dxa"/>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Дети</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34,3</w:t>
            </w:r>
          </w:p>
        </w:tc>
      </w:tr>
      <w:tr w:rsidR="00220777" w:rsidRPr="00220777" w:rsidTr="0072074E">
        <w:trPr>
          <w:trHeight w:val="20"/>
          <w:jc w:val="center"/>
        </w:trPr>
        <w:tc>
          <w:tcPr>
            <w:tcW w:w="7544" w:type="dxa"/>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Люди пожилого возраста, в том числе ветераны ВОВ, блокадники</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34,3</w:t>
            </w:r>
          </w:p>
        </w:tc>
      </w:tr>
      <w:tr w:rsidR="00220777" w:rsidRPr="00220777" w:rsidTr="0072074E">
        <w:trPr>
          <w:trHeight w:val="20"/>
          <w:jc w:val="center"/>
        </w:trPr>
        <w:tc>
          <w:tcPr>
            <w:tcW w:w="7544" w:type="dxa"/>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Другие НКО/организации</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25,7</w:t>
            </w:r>
          </w:p>
        </w:tc>
      </w:tr>
      <w:tr w:rsidR="00220777" w:rsidRPr="00220777" w:rsidTr="0072074E">
        <w:trPr>
          <w:trHeight w:val="20"/>
          <w:jc w:val="center"/>
        </w:trPr>
        <w:tc>
          <w:tcPr>
            <w:tcW w:w="7544" w:type="dxa"/>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Дети-инвалиды и дети с тяжелыми заболеваниями</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14,3</w:t>
            </w:r>
          </w:p>
        </w:tc>
      </w:tr>
      <w:tr w:rsidR="00220777" w:rsidRPr="00220777" w:rsidTr="0072074E">
        <w:trPr>
          <w:trHeight w:val="20"/>
          <w:jc w:val="center"/>
        </w:trPr>
        <w:tc>
          <w:tcPr>
            <w:tcW w:w="7544" w:type="dxa"/>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Мигранты</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14,3</w:t>
            </w:r>
          </w:p>
        </w:tc>
      </w:tr>
      <w:tr w:rsidR="00220777" w:rsidRPr="00220777" w:rsidTr="0072074E">
        <w:trPr>
          <w:trHeight w:val="20"/>
          <w:jc w:val="center"/>
        </w:trPr>
        <w:tc>
          <w:tcPr>
            <w:tcW w:w="7544" w:type="dxa"/>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Взрослые люди с ограниченными возможностями или тяжёлыми заболеваниями</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11,4</w:t>
            </w:r>
          </w:p>
        </w:tc>
      </w:tr>
      <w:tr w:rsidR="00220777" w:rsidRPr="00220777" w:rsidTr="0072074E">
        <w:trPr>
          <w:trHeight w:val="20"/>
          <w:jc w:val="center"/>
        </w:trPr>
        <w:tc>
          <w:tcPr>
            <w:tcW w:w="7544" w:type="dxa"/>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Люди в трудной жизненной ситуации (вышедшие из мест заключения, лица без определенного места жительства, жертвы стихийных бедствий и т.д.)</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8,6</w:t>
            </w:r>
          </w:p>
        </w:tc>
      </w:tr>
      <w:tr w:rsidR="00220777" w:rsidRPr="00220777" w:rsidTr="0072074E">
        <w:trPr>
          <w:trHeight w:val="20"/>
          <w:jc w:val="center"/>
        </w:trPr>
        <w:tc>
          <w:tcPr>
            <w:tcW w:w="7544" w:type="dxa"/>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Люди, зависимые от наркотиков, алкоголя и т.д.</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5,7</w:t>
            </w:r>
          </w:p>
        </w:tc>
      </w:tr>
      <w:tr w:rsidR="00220777" w:rsidRPr="00220777" w:rsidTr="0072074E">
        <w:trPr>
          <w:trHeight w:val="20"/>
          <w:jc w:val="center"/>
        </w:trPr>
        <w:tc>
          <w:tcPr>
            <w:tcW w:w="7544" w:type="dxa"/>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Целевая группа потребителей отсутствует</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5,7</w:t>
            </w:r>
          </w:p>
        </w:tc>
      </w:tr>
      <w:tr w:rsidR="00220777" w:rsidRPr="00220777" w:rsidTr="0072074E">
        <w:trPr>
          <w:trHeight w:val="20"/>
          <w:jc w:val="center"/>
        </w:trPr>
        <w:tc>
          <w:tcPr>
            <w:tcW w:w="7544" w:type="dxa"/>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ВИЧ-положительные люди и больные СПИДом</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2,9</w:t>
            </w:r>
          </w:p>
        </w:tc>
      </w:tr>
      <w:tr w:rsidR="00220777" w:rsidRPr="00220777" w:rsidTr="0072074E">
        <w:trPr>
          <w:trHeight w:val="20"/>
          <w:jc w:val="center"/>
        </w:trPr>
        <w:tc>
          <w:tcPr>
            <w:tcW w:w="7544" w:type="dxa"/>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Люди определенной национальной принадлежности</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2,9</w:t>
            </w:r>
          </w:p>
        </w:tc>
      </w:tr>
      <w:tr w:rsidR="00220777" w:rsidRPr="00220777" w:rsidTr="0072074E">
        <w:trPr>
          <w:trHeight w:val="20"/>
          <w:jc w:val="center"/>
        </w:trPr>
        <w:tc>
          <w:tcPr>
            <w:tcW w:w="7544" w:type="dxa"/>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 xml:space="preserve">Потребители жилищных и коммунальных услуг </w:t>
            </w:r>
          </w:p>
        </w:tc>
        <w:tc>
          <w:tcPr>
            <w:tcW w:w="1588" w:type="dxa"/>
            <w:vAlign w:val="center"/>
          </w:tcPr>
          <w:p w:rsidR="00220777" w:rsidRPr="00220777" w:rsidRDefault="00220777" w:rsidP="00220777">
            <w:pPr>
              <w:autoSpaceDE w:val="0"/>
              <w:autoSpaceDN w:val="0"/>
              <w:adjustRightInd w:val="0"/>
              <w:spacing w:after="0" w:line="240" w:lineRule="auto"/>
              <w:ind w:firstLine="88"/>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2,9</w:t>
            </w:r>
          </w:p>
        </w:tc>
      </w:tr>
      <w:tr w:rsidR="00220777" w:rsidRPr="00220777" w:rsidTr="001A020D">
        <w:trPr>
          <w:trHeight w:val="20"/>
          <w:jc w:val="center"/>
        </w:trPr>
        <w:tc>
          <w:tcPr>
            <w:tcW w:w="9132" w:type="dxa"/>
            <w:gridSpan w:val="2"/>
            <w:vAlign w:val="center"/>
          </w:tcPr>
          <w:p w:rsidR="00220777" w:rsidRPr="00220777" w:rsidRDefault="00220777" w:rsidP="0072074E">
            <w:pPr>
              <w:autoSpaceDE w:val="0"/>
              <w:autoSpaceDN w:val="0"/>
              <w:adjustRightInd w:val="0"/>
              <w:spacing w:after="0" w:line="240" w:lineRule="auto"/>
              <w:ind w:left="143"/>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Источник: В октябре 2017 г. Вологодским научным центром РАН проведен анкетный опрос руководителей и заместителей некоммерческих организаций Вологодской области. В исследовании принимало участие 35 респондентов.</w:t>
            </w:r>
          </w:p>
        </w:tc>
      </w:tr>
    </w:tbl>
    <w:p w:rsidR="00220777" w:rsidRDefault="00220777" w:rsidP="00220777">
      <w:pPr>
        <w:spacing w:after="0" w:line="240" w:lineRule="auto"/>
        <w:ind w:firstLine="567"/>
        <w:jc w:val="both"/>
        <w:rPr>
          <w:rFonts w:ascii="Times New Roman" w:eastAsia="Times New Roman" w:hAnsi="Times New Roman" w:cs="Times New Roman"/>
          <w:sz w:val="24"/>
          <w:szCs w:val="24"/>
          <w:lang w:eastAsia="ru-RU"/>
        </w:rPr>
      </w:pPr>
    </w:p>
    <w:p w:rsidR="00220777" w:rsidRPr="00220777" w:rsidRDefault="00220777" w:rsidP="00220777">
      <w:pPr>
        <w:spacing w:after="0" w:line="240" w:lineRule="auto"/>
        <w:ind w:firstLine="567"/>
        <w:jc w:val="both"/>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 xml:space="preserve">Таким образом, сама природа некоммерческих организаций заключается в обслуживании наименее представленных в политике, социально уязвимых групп населения. Исследователь электорального поведения В. </w:t>
      </w:r>
      <w:proofErr w:type="spellStart"/>
      <w:r w:rsidRPr="00220777">
        <w:rPr>
          <w:rFonts w:ascii="Times New Roman" w:eastAsia="Times New Roman" w:hAnsi="Times New Roman" w:cs="Times New Roman"/>
          <w:sz w:val="24"/>
          <w:szCs w:val="24"/>
          <w:lang w:eastAsia="ru-RU"/>
        </w:rPr>
        <w:t>Rongitsch</w:t>
      </w:r>
      <w:proofErr w:type="spellEnd"/>
      <w:r w:rsidRPr="00220777">
        <w:rPr>
          <w:rFonts w:ascii="Times New Roman" w:eastAsia="Times New Roman" w:hAnsi="Times New Roman" w:cs="Times New Roman"/>
          <w:sz w:val="24"/>
          <w:szCs w:val="24"/>
          <w:lang w:eastAsia="ru-RU"/>
        </w:rPr>
        <w:t>   назвал НКО «спящими гигантами демократии», так как они имеют уникальный доступ к тем группам населения, которые являются потенциальными избирателями. Данное преимущество дает им возможность эффективно мобилизовать имеющих право голоса граждан</w:t>
      </w:r>
      <w:r w:rsidR="00564E88">
        <w:rPr>
          <w:rFonts w:ascii="Times New Roman" w:eastAsia="Times New Roman" w:hAnsi="Times New Roman" w:cs="Times New Roman"/>
          <w:sz w:val="24"/>
          <w:szCs w:val="24"/>
          <w:lang w:eastAsia="ru-RU"/>
        </w:rPr>
        <w:t xml:space="preserve"> </w:t>
      </w:r>
      <w:r w:rsidR="00564E88" w:rsidRPr="00564E88">
        <w:rPr>
          <w:rFonts w:ascii="Times New Roman" w:eastAsia="Times New Roman" w:hAnsi="Times New Roman" w:cs="Times New Roman"/>
          <w:sz w:val="24"/>
          <w:szCs w:val="24"/>
          <w:lang w:eastAsia="ru-RU"/>
        </w:rPr>
        <w:t>[</w:t>
      </w:r>
      <w:r w:rsidR="003A3815">
        <w:rPr>
          <w:rFonts w:ascii="Times New Roman" w:eastAsia="Times New Roman" w:hAnsi="Times New Roman" w:cs="Times New Roman"/>
          <w:sz w:val="24"/>
          <w:szCs w:val="24"/>
          <w:lang w:eastAsia="ru-RU"/>
        </w:rPr>
        <w:t>2</w:t>
      </w:r>
      <w:r w:rsidR="00564E88" w:rsidRPr="00564E88">
        <w:rPr>
          <w:rFonts w:ascii="Times New Roman" w:eastAsia="Times New Roman" w:hAnsi="Times New Roman" w:cs="Times New Roman"/>
          <w:sz w:val="24"/>
          <w:szCs w:val="24"/>
          <w:lang w:eastAsia="ru-RU"/>
        </w:rPr>
        <w:t>]</w:t>
      </w:r>
      <w:r w:rsidRPr="00220777">
        <w:rPr>
          <w:rFonts w:ascii="Times New Roman" w:eastAsia="Times New Roman" w:hAnsi="Times New Roman" w:cs="Times New Roman"/>
          <w:sz w:val="24"/>
          <w:szCs w:val="24"/>
          <w:lang w:eastAsia="ru-RU"/>
        </w:rPr>
        <w:t>.</w:t>
      </w:r>
    </w:p>
    <w:p w:rsidR="00220777" w:rsidRPr="00220777" w:rsidRDefault="00220777" w:rsidP="00220777">
      <w:pPr>
        <w:spacing w:after="0" w:line="240" w:lineRule="auto"/>
        <w:ind w:firstLine="567"/>
        <w:jc w:val="both"/>
        <w:rPr>
          <w:rFonts w:ascii="Times New Roman" w:eastAsia="Times New Roman" w:hAnsi="Times New Roman" w:cs="Times New Roman"/>
          <w:sz w:val="24"/>
          <w:szCs w:val="24"/>
        </w:rPr>
      </w:pPr>
      <w:r w:rsidRPr="00220777">
        <w:rPr>
          <w:rFonts w:ascii="Times New Roman" w:eastAsia="Times New Roman" w:hAnsi="Times New Roman" w:cs="Times New Roman"/>
          <w:sz w:val="24"/>
          <w:szCs w:val="24"/>
          <w:lang w:eastAsia="ru-RU"/>
        </w:rPr>
        <w:t>Две основные составляющие  необходимо для того, чтобы институт выборов работал эффективно и приносил бы пользу большинству населения страны. С одной стороны, люди должны идти на выборы и голосовать, а с другой, они должны быть осведомлены о вопросах, по которым они голосуют.</w:t>
      </w:r>
      <w:r w:rsidRPr="00220777">
        <w:rPr>
          <w:rFonts w:ascii="Times New Roman" w:eastAsia="Times New Roman" w:hAnsi="Times New Roman" w:cs="Times New Roman"/>
          <w:color w:val="C00000"/>
          <w:sz w:val="24"/>
          <w:szCs w:val="24"/>
        </w:rPr>
        <w:t xml:space="preserve"> </w:t>
      </w:r>
      <w:r w:rsidRPr="00220777">
        <w:rPr>
          <w:rFonts w:ascii="Times New Roman" w:eastAsia="Times New Roman" w:hAnsi="Times New Roman" w:cs="Times New Roman"/>
          <w:sz w:val="24"/>
          <w:szCs w:val="24"/>
          <w:lang w:eastAsia="ru-RU"/>
        </w:rPr>
        <w:t xml:space="preserve">Поэтому ожидается, что заинтересованные граждане спросят или хотя бы задумаются о том, что нужно, чтобы проголосовать на выборах, и позаботятся о значении и последствиях результатов выборов. В этой ситуации НКО могут выступить как площадка взаимодействия между потенциальными избирателями, могут проводить разъяснительную работу. В целом участие НКО в избирательном процессе является необходимым и очень важным элементом, что, на наш взгляд, </w:t>
      </w:r>
      <w:r w:rsidRPr="00220777">
        <w:rPr>
          <w:rFonts w:ascii="Times New Roman" w:eastAsia="Times New Roman" w:hAnsi="Times New Roman" w:cs="Times New Roman"/>
          <w:sz w:val="24"/>
          <w:szCs w:val="24"/>
        </w:rPr>
        <w:t>повысит доверие к выборам со стороны общества.</w:t>
      </w:r>
    </w:p>
    <w:p w:rsidR="00220777" w:rsidRPr="00220777" w:rsidRDefault="00220777" w:rsidP="00220777">
      <w:pPr>
        <w:spacing w:after="0" w:line="240" w:lineRule="auto"/>
        <w:ind w:firstLine="567"/>
        <w:jc w:val="both"/>
        <w:rPr>
          <w:rFonts w:ascii="Times New Roman" w:eastAsia="Times New Roman" w:hAnsi="Times New Roman" w:cs="Times New Roman"/>
          <w:color w:val="C00000"/>
          <w:sz w:val="24"/>
          <w:szCs w:val="24"/>
          <w:lang w:eastAsia="ru-RU"/>
        </w:rPr>
      </w:pPr>
      <w:r w:rsidRPr="00220777">
        <w:rPr>
          <w:rFonts w:ascii="Times New Roman" w:eastAsia="Times New Roman" w:hAnsi="Times New Roman" w:cs="Times New Roman"/>
          <w:sz w:val="24"/>
          <w:szCs w:val="24"/>
          <w:lang w:eastAsia="ru-RU"/>
        </w:rPr>
        <w:t xml:space="preserve">Ученые A. </w:t>
      </w:r>
      <w:proofErr w:type="spellStart"/>
      <w:r w:rsidRPr="00220777">
        <w:rPr>
          <w:rFonts w:ascii="Times New Roman" w:eastAsia="Times New Roman" w:hAnsi="Times New Roman" w:cs="Times New Roman"/>
          <w:sz w:val="24"/>
          <w:szCs w:val="24"/>
          <w:lang w:eastAsia="ru-RU"/>
        </w:rPr>
        <w:t>Gerber</w:t>
      </w:r>
      <w:proofErr w:type="spellEnd"/>
      <w:r w:rsidRPr="00220777">
        <w:rPr>
          <w:rFonts w:ascii="Times New Roman" w:eastAsia="Times New Roman" w:hAnsi="Times New Roman" w:cs="Times New Roman"/>
          <w:sz w:val="24"/>
          <w:szCs w:val="24"/>
          <w:lang w:eastAsia="ru-RU"/>
        </w:rPr>
        <w:t xml:space="preserve"> и D. </w:t>
      </w:r>
      <w:proofErr w:type="spellStart"/>
      <w:r w:rsidRPr="00220777">
        <w:rPr>
          <w:rFonts w:ascii="Times New Roman" w:eastAsia="Times New Roman" w:hAnsi="Times New Roman" w:cs="Times New Roman"/>
          <w:sz w:val="24"/>
          <w:szCs w:val="24"/>
          <w:lang w:eastAsia="ru-RU"/>
        </w:rPr>
        <w:t>Green</w:t>
      </w:r>
      <w:proofErr w:type="spellEnd"/>
      <w:r w:rsidRPr="00220777">
        <w:rPr>
          <w:rFonts w:ascii="Times New Roman" w:eastAsia="Times New Roman" w:hAnsi="Times New Roman" w:cs="Times New Roman"/>
          <w:sz w:val="24"/>
          <w:szCs w:val="24"/>
          <w:lang w:eastAsia="ru-RU"/>
        </w:rPr>
        <w:t xml:space="preserve"> опубликовали серию экспериментальных результатов, хотя исследования, представленные в их работе, не относятся только к НКО, во всех </w:t>
      </w:r>
      <w:r w:rsidRPr="00220777">
        <w:rPr>
          <w:rFonts w:ascii="Times New Roman" w:eastAsia="Times New Roman" w:hAnsi="Times New Roman" w:cs="Times New Roman"/>
          <w:sz w:val="24"/>
          <w:szCs w:val="24"/>
          <w:lang w:eastAsia="ru-RU"/>
        </w:rPr>
        <w:lastRenderedPageBreak/>
        <w:t>наблюдениях используется беспартийный подход. В этой работе авторы пришли к трем ключевым выводам в изучении вовлечения избирателей. Во-первых, чтобы мобилизовать граждан, нужно, чтобы они чувствовали себя так, как будто их «разыскивают» на выборах. При сравнении усилий по мобилизации избирателей авторами было выявлено, что личное приглашение на выборы повышает вероятность того, что человек придет и проголосует. Кроме того личные приглашения, сопровождаемые телефонными звонками, получают лучший отклик от граждан. Отправленные по почте приглашения обычно не очень эффективны. Во-вторых, исследование показало, что поддержание мотивации человека голосовать является важной связью с явкой избирателей. Перезвонить или напомнить кому-то, кто ранее выразил интерес и намерение голосовать –</w:t>
      </w:r>
      <w:r w:rsidR="00564E88" w:rsidRPr="00564E88">
        <w:rPr>
          <w:rFonts w:ascii="Times New Roman" w:eastAsia="Times New Roman" w:hAnsi="Times New Roman" w:cs="Times New Roman"/>
          <w:sz w:val="24"/>
          <w:szCs w:val="24"/>
          <w:lang w:eastAsia="ru-RU"/>
        </w:rPr>
        <w:t xml:space="preserve"> </w:t>
      </w:r>
      <w:r w:rsidRPr="00220777">
        <w:rPr>
          <w:rFonts w:ascii="Times New Roman" w:eastAsia="Times New Roman" w:hAnsi="Times New Roman" w:cs="Times New Roman"/>
          <w:sz w:val="24"/>
          <w:szCs w:val="24"/>
          <w:lang w:eastAsia="ru-RU"/>
        </w:rPr>
        <w:t>эффективная тактика. И наконец, многие не голосующие проголосуют, если почувствуют, что другие «следят» за их действиями. Самые сильные эффекты наблюдались, когда потенциальным избирателям напоминали, что голосование фактически является публичным документом. В целом, электоральное поведение в значительной степени влияет социальная среда. Это означает, что использование социальных стимулов для голосования имеет тенденцию влиять на явку избирателей</w:t>
      </w:r>
      <w:r w:rsidR="00564E88" w:rsidRPr="00564E88">
        <w:rPr>
          <w:rFonts w:ascii="Times New Roman" w:eastAsia="Times New Roman" w:hAnsi="Times New Roman" w:cs="Times New Roman"/>
          <w:sz w:val="24"/>
          <w:szCs w:val="24"/>
          <w:lang w:eastAsia="ru-RU"/>
        </w:rPr>
        <w:t xml:space="preserve"> [</w:t>
      </w:r>
      <w:r w:rsidR="008E6396">
        <w:rPr>
          <w:rFonts w:ascii="Times New Roman" w:eastAsia="Times New Roman" w:hAnsi="Times New Roman" w:cs="Times New Roman"/>
          <w:sz w:val="24"/>
          <w:szCs w:val="24"/>
          <w:lang w:eastAsia="ru-RU"/>
        </w:rPr>
        <w:t>3</w:t>
      </w:r>
      <w:r w:rsidR="00564E88" w:rsidRPr="00564E88">
        <w:rPr>
          <w:rFonts w:ascii="Times New Roman" w:eastAsia="Times New Roman" w:hAnsi="Times New Roman" w:cs="Times New Roman"/>
          <w:sz w:val="24"/>
          <w:szCs w:val="24"/>
          <w:lang w:eastAsia="ru-RU"/>
        </w:rPr>
        <w:t>]</w:t>
      </w:r>
      <w:r w:rsidRPr="00220777">
        <w:rPr>
          <w:rFonts w:ascii="Times New Roman" w:eastAsia="Times New Roman" w:hAnsi="Times New Roman" w:cs="Times New Roman"/>
          <w:sz w:val="24"/>
          <w:szCs w:val="24"/>
          <w:lang w:eastAsia="ru-RU"/>
        </w:rPr>
        <w:t>.</w:t>
      </w:r>
      <w:r w:rsidRPr="00220777">
        <w:rPr>
          <w:rFonts w:ascii="Times New Roman" w:eastAsia="Times New Roman" w:hAnsi="Times New Roman" w:cs="Times New Roman"/>
          <w:color w:val="C00000"/>
          <w:sz w:val="24"/>
          <w:szCs w:val="24"/>
          <w:lang w:eastAsia="ru-RU"/>
        </w:rPr>
        <w:t xml:space="preserve"> </w:t>
      </w:r>
    </w:p>
    <w:p w:rsidR="00220777" w:rsidRPr="00220777" w:rsidRDefault="00220777" w:rsidP="00220777">
      <w:pPr>
        <w:spacing w:after="0" w:line="240" w:lineRule="auto"/>
        <w:ind w:firstLine="567"/>
        <w:jc w:val="both"/>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val="en-US" w:eastAsia="ru-RU"/>
        </w:rPr>
        <w:t>K</w:t>
      </w:r>
      <w:r w:rsidRPr="00220777">
        <w:rPr>
          <w:rFonts w:ascii="Times New Roman" w:eastAsia="Times New Roman" w:hAnsi="Times New Roman" w:cs="Times New Roman"/>
          <w:sz w:val="24"/>
          <w:szCs w:val="24"/>
          <w:lang w:eastAsia="ru-RU"/>
        </w:rPr>
        <w:t xml:space="preserve">. </w:t>
      </w:r>
      <w:proofErr w:type="spellStart"/>
      <w:r w:rsidRPr="00220777">
        <w:rPr>
          <w:rFonts w:ascii="Times New Roman" w:eastAsia="Times New Roman" w:hAnsi="Times New Roman" w:cs="Times New Roman"/>
          <w:sz w:val="24"/>
          <w:szCs w:val="24"/>
          <w:lang w:val="en-US" w:eastAsia="ru-RU"/>
        </w:rPr>
        <w:t>LeRoux</w:t>
      </w:r>
      <w:proofErr w:type="spellEnd"/>
      <w:r w:rsidRPr="00220777">
        <w:rPr>
          <w:rFonts w:ascii="Times New Roman" w:eastAsia="Times New Roman" w:hAnsi="Times New Roman" w:cs="Times New Roman"/>
          <w:sz w:val="24"/>
          <w:szCs w:val="24"/>
          <w:lang w:eastAsia="ru-RU"/>
        </w:rPr>
        <w:t xml:space="preserve"> и </w:t>
      </w:r>
      <w:r w:rsidRPr="00220777">
        <w:rPr>
          <w:rFonts w:ascii="Times New Roman" w:eastAsia="Times New Roman" w:hAnsi="Times New Roman" w:cs="Times New Roman"/>
          <w:sz w:val="24"/>
          <w:szCs w:val="24"/>
          <w:lang w:val="en-US" w:eastAsia="ru-RU"/>
        </w:rPr>
        <w:t>K</w:t>
      </w:r>
      <w:r w:rsidRPr="00220777">
        <w:rPr>
          <w:rFonts w:ascii="Times New Roman" w:eastAsia="Times New Roman" w:hAnsi="Times New Roman" w:cs="Times New Roman"/>
          <w:sz w:val="24"/>
          <w:szCs w:val="24"/>
          <w:lang w:eastAsia="ru-RU"/>
        </w:rPr>
        <w:t xml:space="preserve">. </w:t>
      </w:r>
      <w:proofErr w:type="spellStart"/>
      <w:r w:rsidRPr="00220777">
        <w:rPr>
          <w:rFonts w:ascii="Times New Roman" w:eastAsia="Times New Roman" w:hAnsi="Times New Roman" w:cs="Times New Roman"/>
          <w:sz w:val="24"/>
          <w:szCs w:val="24"/>
          <w:lang w:val="en-US" w:eastAsia="ru-RU"/>
        </w:rPr>
        <w:t>Krawczyk</w:t>
      </w:r>
      <w:proofErr w:type="spellEnd"/>
      <w:r w:rsidRPr="00220777">
        <w:rPr>
          <w:rFonts w:ascii="Times New Roman" w:eastAsia="Times New Roman" w:hAnsi="Times New Roman" w:cs="Times New Roman"/>
          <w:sz w:val="24"/>
          <w:szCs w:val="24"/>
          <w:lang w:eastAsia="ru-RU"/>
        </w:rPr>
        <w:t xml:space="preserve"> в 2012 году опубликовали исследование, в котором респондентов разделили на две группы. Первая группа состояла их тех, кто не получает услуги от НКО, не взаимодействует с ними и не является объектом их агитационной работы по привлечению к выборам. Вторая, состояла из тех, кто является потребителем услуг НКО и на кого оказывалось влияние в части «призыва» к голосованию</w:t>
      </w:r>
      <w:r w:rsidRPr="00220777">
        <w:rPr>
          <w:rFonts w:ascii="Times New Roman" w:eastAsia="Times New Roman" w:hAnsi="Times New Roman" w:cs="Times New Roman"/>
          <w:color w:val="C00000"/>
          <w:sz w:val="24"/>
          <w:szCs w:val="24"/>
          <w:lang w:eastAsia="ru-RU"/>
        </w:rPr>
        <w:t xml:space="preserve">. </w:t>
      </w:r>
      <w:r w:rsidRPr="00220777">
        <w:rPr>
          <w:rFonts w:ascii="Times New Roman" w:eastAsia="Times New Roman" w:hAnsi="Times New Roman" w:cs="Times New Roman"/>
          <w:sz w:val="24"/>
          <w:szCs w:val="24"/>
          <w:lang w:eastAsia="ru-RU"/>
        </w:rPr>
        <w:t xml:space="preserve">В результате в 1 группе проголосовали 54% избирателя, во 2 группе 71%. Разница в показателях составляет 17 </w:t>
      </w:r>
      <w:proofErr w:type="spellStart"/>
      <w:r w:rsidRPr="00220777">
        <w:rPr>
          <w:rFonts w:ascii="Times New Roman" w:eastAsia="Times New Roman" w:hAnsi="Times New Roman" w:cs="Times New Roman"/>
          <w:sz w:val="24"/>
          <w:szCs w:val="24"/>
          <w:lang w:eastAsia="ru-RU"/>
        </w:rPr>
        <w:t>п.п</w:t>
      </w:r>
      <w:proofErr w:type="spellEnd"/>
      <w:r w:rsidRPr="00220777">
        <w:rPr>
          <w:rFonts w:ascii="Times New Roman" w:eastAsia="Times New Roman" w:hAnsi="Times New Roman" w:cs="Times New Roman"/>
          <w:sz w:val="24"/>
          <w:szCs w:val="24"/>
          <w:lang w:eastAsia="ru-RU"/>
        </w:rPr>
        <w:t>. и является статистически значимой. Исследование также показало, что контакты с НКО по предоставлению помощи избирателям оказывают большее влияние на вероятность голосования, чем любой другой демографический фактор, включая возраст, пол и образование</w:t>
      </w:r>
      <w:r w:rsidR="006B47FA" w:rsidRPr="006B47FA">
        <w:rPr>
          <w:rFonts w:ascii="Times New Roman" w:eastAsia="Times New Roman" w:hAnsi="Times New Roman" w:cs="Times New Roman"/>
          <w:sz w:val="24"/>
          <w:szCs w:val="24"/>
          <w:lang w:eastAsia="ru-RU"/>
        </w:rPr>
        <w:t xml:space="preserve"> [</w:t>
      </w:r>
      <w:r w:rsidR="008E6396">
        <w:rPr>
          <w:rFonts w:ascii="Times New Roman" w:eastAsia="Times New Roman" w:hAnsi="Times New Roman" w:cs="Times New Roman"/>
          <w:sz w:val="24"/>
          <w:szCs w:val="24"/>
          <w:lang w:eastAsia="ru-RU"/>
        </w:rPr>
        <w:t>4</w:t>
      </w:r>
      <w:r w:rsidR="008E6396" w:rsidRPr="008E6396">
        <w:rPr>
          <w:rFonts w:ascii="Times New Roman" w:eastAsia="Times New Roman" w:hAnsi="Times New Roman" w:cs="Times New Roman"/>
          <w:sz w:val="24"/>
          <w:szCs w:val="24"/>
          <w:lang w:eastAsia="ru-RU"/>
        </w:rPr>
        <w:t>].</w:t>
      </w:r>
    </w:p>
    <w:p w:rsidR="00220777" w:rsidRPr="00220777" w:rsidRDefault="00220777" w:rsidP="00220777">
      <w:pPr>
        <w:spacing w:after="0" w:line="240" w:lineRule="auto"/>
        <w:ind w:firstLine="567"/>
        <w:jc w:val="both"/>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 xml:space="preserve">По данным опроса </w:t>
      </w:r>
      <w:proofErr w:type="spellStart"/>
      <w:r w:rsidRPr="00220777">
        <w:rPr>
          <w:rFonts w:ascii="Times New Roman" w:eastAsia="Times New Roman" w:hAnsi="Times New Roman" w:cs="Times New Roman"/>
          <w:sz w:val="24"/>
          <w:szCs w:val="24"/>
          <w:lang w:eastAsia="ru-RU"/>
        </w:rPr>
        <w:t>ВолНЦ</w:t>
      </w:r>
      <w:proofErr w:type="spellEnd"/>
      <w:r w:rsidRPr="00220777">
        <w:rPr>
          <w:rFonts w:ascii="Times New Roman" w:eastAsia="Times New Roman" w:hAnsi="Times New Roman" w:cs="Times New Roman"/>
          <w:sz w:val="24"/>
          <w:szCs w:val="24"/>
          <w:lang w:eastAsia="ru-RU"/>
        </w:rPr>
        <w:t xml:space="preserve"> РАН в Вологодской области, начиная с 2016 г., удельный вес жителей области, реализующих избирательное право, выше среди членов и волонтёров НКО по сравнению с теми, кто не состоит в подобных общественных структурах. В 2018 г. разница между двумя группами составила 21 </w:t>
      </w:r>
      <w:proofErr w:type="spellStart"/>
      <w:r w:rsidRPr="00220777">
        <w:rPr>
          <w:rFonts w:ascii="Times New Roman" w:eastAsia="Times New Roman" w:hAnsi="Times New Roman" w:cs="Times New Roman"/>
          <w:sz w:val="24"/>
          <w:szCs w:val="24"/>
          <w:lang w:eastAsia="ru-RU"/>
        </w:rPr>
        <w:t>п.п</w:t>
      </w:r>
      <w:proofErr w:type="spellEnd"/>
      <w:r w:rsidRPr="00220777">
        <w:rPr>
          <w:rFonts w:ascii="Times New Roman" w:eastAsia="Times New Roman" w:hAnsi="Times New Roman" w:cs="Times New Roman"/>
          <w:sz w:val="24"/>
          <w:szCs w:val="24"/>
          <w:lang w:eastAsia="ru-RU"/>
        </w:rPr>
        <w:t xml:space="preserve">. (66 против 45%). При этом за весь период измерений (2011 – 2018 гг.) доля голосующих среди участников некоммерческих организаций несколько увеличилась (на 5 </w:t>
      </w:r>
      <w:proofErr w:type="spellStart"/>
      <w:r w:rsidRPr="00220777">
        <w:rPr>
          <w:rFonts w:ascii="Times New Roman" w:eastAsia="Times New Roman" w:hAnsi="Times New Roman" w:cs="Times New Roman"/>
          <w:sz w:val="24"/>
          <w:szCs w:val="24"/>
          <w:lang w:eastAsia="ru-RU"/>
        </w:rPr>
        <w:t>п.п</w:t>
      </w:r>
      <w:proofErr w:type="spellEnd"/>
      <w:r w:rsidRPr="00220777">
        <w:rPr>
          <w:rFonts w:ascii="Times New Roman" w:eastAsia="Times New Roman" w:hAnsi="Times New Roman" w:cs="Times New Roman"/>
          <w:sz w:val="24"/>
          <w:szCs w:val="24"/>
          <w:lang w:eastAsia="ru-RU"/>
        </w:rPr>
        <w:t xml:space="preserve">., с 61 до 66%), среди граждан, не связанных с работой данных структур – существенно снизилась (на 25 </w:t>
      </w:r>
      <w:proofErr w:type="spellStart"/>
      <w:r w:rsidRPr="00220777">
        <w:rPr>
          <w:rFonts w:ascii="Times New Roman" w:eastAsia="Times New Roman" w:hAnsi="Times New Roman" w:cs="Times New Roman"/>
          <w:sz w:val="24"/>
          <w:szCs w:val="24"/>
          <w:lang w:eastAsia="ru-RU"/>
        </w:rPr>
        <w:t>п.п</w:t>
      </w:r>
      <w:proofErr w:type="spellEnd"/>
      <w:r w:rsidRPr="00220777">
        <w:rPr>
          <w:rFonts w:ascii="Times New Roman" w:eastAsia="Times New Roman" w:hAnsi="Times New Roman" w:cs="Times New Roman"/>
          <w:sz w:val="24"/>
          <w:szCs w:val="24"/>
          <w:lang w:eastAsia="ru-RU"/>
        </w:rPr>
        <w:t xml:space="preserve">.; с 70 до 45%) (рис. 1). </w:t>
      </w:r>
    </w:p>
    <w:p w:rsidR="00220777" w:rsidRPr="00220777" w:rsidRDefault="00220777" w:rsidP="00220777">
      <w:pPr>
        <w:spacing w:after="0" w:line="240" w:lineRule="auto"/>
        <w:ind w:firstLine="567"/>
        <w:jc w:val="center"/>
        <w:rPr>
          <w:rFonts w:ascii="Times New Roman" w:eastAsia="Times New Roman" w:hAnsi="Times New Roman" w:cs="Times New Roman"/>
          <w:sz w:val="24"/>
          <w:szCs w:val="24"/>
          <w:lang w:eastAsia="ru-RU"/>
        </w:rPr>
      </w:pPr>
      <w:r w:rsidRPr="00220777">
        <w:rPr>
          <w:rFonts w:ascii="Times New Roman" w:eastAsia="Times New Roman" w:hAnsi="Times New Roman" w:cs="Times New Roman"/>
          <w:noProof/>
          <w:sz w:val="24"/>
          <w:szCs w:val="24"/>
          <w:lang w:eastAsia="ru-RU"/>
        </w:rPr>
        <w:drawing>
          <wp:inline distT="0" distB="0" distL="0" distR="0" wp14:anchorId="1ABAB1A6" wp14:editId="073DFADC">
            <wp:extent cx="5591175" cy="2028825"/>
            <wp:effectExtent l="0" t="0" r="0" b="0"/>
            <wp:docPr id="2" name="Объект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004462D3">
        <w:rPr>
          <w:rFonts w:ascii="Times New Roman" w:eastAsia="Times New Roman" w:hAnsi="Times New Roman" w:cs="Times New Roman"/>
          <w:sz w:val="24"/>
          <w:szCs w:val="24"/>
          <w:lang w:eastAsia="ru-RU"/>
        </w:rPr>
        <w:t>Рисунок</w:t>
      </w:r>
      <w:r>
        <w:rPr>
          <w:rFonts w:ascii="Times New Roman" w:eastAsia="Times New Roman" w:hAnsi="Times New Roman" w:cs="Times New Roman"/>
          <w:sz w:val="24"/>
          <w:szCs w:val="24"/>
          <w:lang w:eastAsia="ru-RU"/>
        </w:rPr>
        <w:t xml:space="preserve"> </w:t>
      </w:r>
      <w:r w:rsidRPr="00220777">
        <w:rPr>
          <w:rFonts w:ascii="Times New Roman" w:eastAsia="Times New Roman" w:hAnsi="Times New Roman" w:cs="Times New Roman"/>
          <w:sz w:val="24"/>
          <w:szCs w:val="24"/>
          <w:lang w:eastAsia="ru-RU"/>
        </w:rPr>
        <w:t xml:space="preserve">1. – Декларируемая явка в группах, выделенных по степени </w:t>
      </w:r>
      <w:proofErr w:type="spellStart"/>
      <w:r w:rsidRPr="00220777">
        <w:rPr>
          <w:rFonts w:ascii="Times New Roman" w:eastAsia="Times New Roman" w:hAnsi="Times New Roman" w:cs="Times New Roman"/>
          <w:sz w:val="24"/>
          <w:szCs w:val="24"/>
          <w:lang w:eastAsia="ru-RU"/>
        </w:rPr>
        <w:t>вовлечённости</w:t>
      </w:r>
      <w:proofErr w:type="spellEnd"/>
      <w:r w:rsidRPr="00220777">
        <w:rPr>
          <w:rFonts w:ascii="Times New Roman" w:eastAsia="Times New Roman" w:hAnsi="Times New Roman" w:cs="Times New Roman"/>
          <w:sz w:val="24"/>
          <w:szCs w:val="24"/>
          <w:lang w:eastAsia="ru-RU"/>
        </w:rPr>
        <w:t xml:space="preserve"> в деятельность некоммерческих организаций (в % от числа опрошенных)</w:t>
      </w:r>
    </w:p>
    <w:p w:rsidR="00220777" w:rsidRPr="00220777" w:rsidRDefault="00220777" w:rsidP="00220777">
      <w:pPr>
        <w:spacing w:after="0" w:line="240" w:lineRule="auto"/>
        <w:jc w:val="both"/>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 xml:space="preserve">Источник: Рассчитано авторами на основе данных мониторинга общественного мнения </w:t>
      </w:r>
      <w:proofErr w:type="spellStart"/>
      <w:r w:rsidRPr="00220777">
        <w:rPr>
          <w:rFonts w:ascii="Times New Roman" w:eastAsia="Times New Roman" w:hAnsi="Times New Roman" w:cs="Times New Roman"/>
          <w:sz w:val="24"/>
          <w:szCs w:val="24"/>
          <w:lang w:eastAsia="ru-RU"/>
        </w:rPr>
        <w:t>ВолНЦ</w:t>
      </w:r>
      <w:proofErr w:type="spellEnd"/>
      <w:r w:rsidRPr="00220777">
        <w:rPr>
          <w:rFonts w:ascii="Times New Roman" w:eastAsia="Times New Roman" w:hAnsi="Times New Roman" w:cs="Times New Roman"/>
          <w:sz w:val="24"/>
          <w:szCs w:val="24"/>
          <w:lang w:eastAsia="ru-RU"/>
        </w:rPr>
        <w:t xml:space="preserve"> РАН</w:t>
      </w:r>
    </w:p>
    <w:p w:rsidR="00220777" w:rsidRPr="00220777" w:rsidRDefault="00220777" w:rsidP="00220777">
      <w:pPr>
        <w:spacing w:after="0" w:line="240" w:lineRule="auto"/>
        <w:ind w:firstLine="567"/>
        <w:jc w:val="both"/>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Таким образом, результаты зарубежных и российских полевых исследований подтверждают гипотезу о том, что деятельность НКО положительно влияет на электоральную активность граждан.</w:t>
      </w:r>
    </w:p>
    <w:p w:rsidR="00220777" w:rsidRPr="00220777" w:rsidRDefault="00220777" w:rsidP="00220777">
      <w:pPr>
        <w:widowControl w:val="0"/>
        <w:overflowPunct w:val="0"/>
        <w:autoSpaceDE w:val="0"/>
        <w:autoSpaceDN w:val="0"/>
        <w:adjustRightInd w:val="0"/>
        <w:spacing w:after="0" w:line="240" w:lineRule="auto"/>
        <w:ind w:firstLine="567"/>
        <w:jc w:val="both"/>
        <w:rPr>
          <w:rFonts w:ascii="Times New Roman" w:eastAsia="Times New Roman" w:hAnsi="Times New Roman" w:cs="Times New Roman"/>
          <w:color w:val="000000"/>
          <w:kern w:val="28"/>
          <w:sz w:val="24"/>
          <w:szCs w:val="24"/>
          <w:lang w:eastAsia="ru-RU"/>
        </w:rPr>
      </w:pPr>
      <w:r w:rsidRPr="00220777">
        <w:rPr>
          <w:rFonts w:ascii="Times New Roman" w:eastAsia="Times New Roman" w:hAnsi="Times New Roman" w:cs="Times New Roman"/>
          <w:color w:val="000000"/>
          <w:kern w:val="28"/>
          <w:sz w:val="24"/>
          <w:szCs w:val="24"/>
          <w:lang w:eastAsia="ru-RU"/>
        </w:rPr>
        <w:t xml:space="preserve">Возможность вовлечения НКО в процесс мобилизации избирателей имеет большое </w:t>
      </w:r>
      <w:r w:rsidRPr="00220777">
        <w:rPr>
          <w:rFonts w:ascii="Times New Roman" w:eastAsia="Times New Roman" w:hAnsi="Times New Roman" w:cs="Times New Roman"/>
          <w:color w:val="000000"/>
          <w:kern w:val="28"/>
          <w:sz w:val="24"/>
          <w:szCs w:val="24"/>
          <w:lang w:eastAsia="ru-RU"/>
        </w:rPr>
        <w:lastRenderedPageBreak/>
        <w:t>значение для органов государственной власти, избирательных комиссий при составлении мероприятий, направленных на повышение правовой культуры избирателей, уровня электоральной активности и доверия граждан к российской избирательной системе.  А также не меньшее значение эта возможность имеет для самих некоммерческих организаций при планировании своей деятельности в части работы с потенциальными избирателями. Поэтому видится целесообразным сформировать набор предложений, рекомендаций для тех и других участников рассматриваемого процесса.</w:t>
      </w:r>
    </w:p>
    <w:p w:rsidR="00220777" w:rsidRPr="00220777" w:rsidRDefault="00220777" w:rsidP="00220777">
      <w:pPr>
        <w:widowControl w:val="0"/>
        <w:overflowPunct w:val="0"/>
        <w:autoSpaceDE w:val="0"/>
        <w:autoSpaceDN w:val="0"/>
        <w:adjustRightInd w:val="0"/>
        <w:spacing w:after="0" w:line="240" w:lineRule="auto"/>
        <w:ind w:firstLine="567"/>
        <w:jc w:val="both"/>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Предложения и рекомендации для органов власти, избирательных комиссий, общественных палат по привлечению НКО к избирательному процессу:</w:t>
      </w:r>
    </w:p>
    <w:p w:rsidR="00220777" w:rsidRPr="00220777" w:rsidRDefault="00220777" w:rsidP="00220777">
      <w:pPr>
        <w:widowControl w:val="0"/>
        <w:overflowPunct w:val="0"/>
        <w:autoSpaceDE w:val="0"/>
        <w:autoSpaceDN w:val="0"/>
        <w:adjustRightInd w:val="0"/>
        <w:spacing w:after="0" w:line="240" w:lineRule="auto"/>
        <w:ind w:firstLine="567"/>
        <w:jc w:val="both"/>
        <w:rPr>
          <w:rFonts w:ascii="Times New Roman" w:eastAsia="Times New Roman" w:hAnsi="Times New Roman" w:cs="Times New Roman"/>
          <w:color w:val="000000"/>
          <w:kern w:val="28"/>
          <w:sz w:val="24"/>
          <w:szCs w:val="24"/>
          <w:lang w:eastAsia="ru-RU"/>
        </w:rPr>
      </w:pPr>
      <w:r w:rsidRPr="00220777">
        <w:rPr>
          <w:rFonts w:ascii="Times New Roman" w:eastAsia="Times New Roman" w:hAnsi="Times New Roman" w:cs="Times New Roman"/>
          <w:color w:val="000000"/>
          <w:kern w:val="28"/>
          <w:sz w:val="24"/>
          <w:szCs w:val="24"/>
          <w:lang w:eastAsia="ru-RU"/>
        </w:rPr>
        <w:t>Мотивировать НКО на деятельность по привлечению граждан на избирательные участки путем проведения грантовых конкурсов. Обеспечение финансовыми ресурсами НКО в части работы по непосредственному взаимодействию с избирателями позволит им эффективнее проводить мероприятия. В частности, возможным видится введение направления конкурса Фонда президентских грантов для НКО</w:t>
      </w:r>
      <w:r w:rsidRPr="00220777">
        <w:rPr>
          <w:rFonts w:ascii="Times New Roman" w:eastAsia="Times New Roman" w:hAnsi="Times New Roman" w:cs="Times New Roman"/>
          <w:color w:val="000000"/>
          <w:kern w:val="28"/>
          <w:sz w:val="24"/>
          <w:szCs w:val="24"/>
          <w:vertAlign w:val="superscript"/>
          <w:lang w:eastAsia="ru-RU"/>
        </w:rPr>
        <w:footnoteReference w:id="3"/>
      </w:r>
      <w:r w:rsidRPr="00220777">
        <w:rPr>
          <w:rFonts w:ascii="Times New Roman" w:eastAsia="Times New Roman" w:hAnsi="Times New Roman" w:cs="Times New Roman"/>
          <w:color w:val="000000"/>
          <w:kern w:val="28"/>
          <w:sz w:val="24"/>
          <w:szCs w:val="24"/>
          <w:lang w:eastAsia="ru-RU"/>
        </w:rPr>
        <w:t xml:space="preserve"> </w:t>
      </w:r>
      <w:r w:rsidRPr="00220777">
        <w:rPr>
          <w:rFonts w:ascii="Times New Roman" w:eastAsia="Times New Roman" w:hAnsi="Times New Roman" w:cs="Times New Roman"/>
          <w:sz w:val="24"/>
          <w:szCs w:val="24"/>
          <w:lang w:eastAsia="ru-RU"/>
        </w:rPr>
        <w:t>–</w:t>
      </w:r>
      <w:r w:rsidRPr="00220777">
        <w:rPr>
          <w:rFonts w:ascii="Times New Roman" w:eastAsia="Times New Roman" w:hAnsi="Times New Roman" w:cs="Times New Roman"/>
          <w:color w:val="000000"/>
          <w:kern w:val="28"/>
          <w:sz w:val="24"/>
          <w:szCs w:val="24"/>
          <w:lang w:eastAsia="ru-RU"/>
        </w:rPr>
        <w:t xml:space="preserve"> «совершенствование избирательного процесса и повышение электоральной активности граждан». Данное предложение обусловлено тем, что без материальных и человеческих ресурсов, специально выделенных для этой работы, НКО будут испытывать трудности в связи с возложенными дополнительными обязанностями.</w:t>
      </w:r>
    </w:p>
    <w:p w:rsidR="00564E88" w:rsidRDefault="00220777" w:rsidP="00564E88">
      <w:pPr>
        <w:spacing w:after="0" w:line="240" w:lineRule="auto"/>
        <w:ind w:firstLine="567"/>
        <w:jc w:val="both"/>
        <w:rPr>
          <w:rFonts w:ascii="Times New Roman" w:eastAsia="Times New Roman" w:hAnsi="Times New Roman" w:cs="Times New Roman"/>
          <w:sz w:val="24"/>
          <w:szCs w:val="24"/>
          <w:lang w:eastAsia="ru-RU"/>
        </w:rPr>
      </w:pPr>
      <w:r w:rsidRPr="00220777">
        <w:rPr>
          <w:rFonts w:ascii="Times New Roman" w:eastAsia="Times New Roman" w:hAnsi="Times New Roman" w:cs="Times New Roman"/>
          <w:color w:val="000000"/>
          <w:kern w:val="28"/>
          <w:sz w:val="24"/>
          <w:szCs w:val="24"/>
          <w:lang w:eastAsia="ru-RU"/>
        </w:rPr>
        <w:t xml:space="preserve">Привлекать инициативных граждан, состоящих в НКО в деятельность участковых избирательных комиссий через Общественные палаты. Следует отметить, что такая практика стала реализовываться с 2018 года в рамках общественного контроля. </w:t>
      </w:r>
      <w:r w:rsidRPr="00220777">
        <w:rPr>
          <w:rFonts w:ascii="Times New Roman" w:eastAsia="Times New Roman" w:hAnsi="Times New Roman" w:cs="Times New Roman"/>
          <w:sz w:val="24"/>
          <w:szCs w:val="24"/>
          <w:lang w:eastAsia="ru-RU"/>
        </w:rPr>
        <w:t>Согласно ФЗ N 374-ФЗ «О внесении изменений в Федеральный закон «О выборах Президента Российской Федерации» в соответствии с которым Общественная палата, как субъект общественного контроля, наделена правом назначать наблюдателей в избирательные комиссии для осуществления мониторинга реализации избирательных прав граждан. В целом по России 1 866 соглашений заключено с федеральными, региональными и муниципальными общественными организациями в ходе подготовки системы общественного наблюдения. Общественной палатой Вологодской области в рамках организации процесса общественного наблюдения было подписано 23 соглашения с различными негосударственными некоммерческими организациями</w:t>
      </w:r>
      <w:r w:rsidRPr="00220777">
        <w:rPr>
          <w:rFonts w:ascii="Times New Roman" w:eastAsia="Times New Roman" w:hAnsi="Times New Roman" w:cs="Times New Roman"/>
          <w:sz w:val="24"/>
          <w:szCs w:val="24"/>
          <w:vertAlign w:val="superscript"/>
          <w:lang w:eastAsia="ru-RU"/>
        </w:rPr>
        <w:footnoteReference w:id="4"/>
      </w:r>
      <w:r w:rsidRPr="00220777">
        <w:rPr>
          <w:rFonts w:ascii="Times New Roman" w:eastAsia="Times New Roman" w:hAnsi="Times New Roman" w:cs="Times New Roman"/>
          <w:sz w:val="24"/>
          <w:szCs w:val="24"/>
          <w:lang w:eastAsia="ru-RU"/>
        </w:rPr>
        <w:t>. Представляется эффективным расширять данную практику.</w:t>
      </w:r>
    </w:p>
    <w:p w:rsidR="00220777" w:rsidRPr="00220777" w:rsidRDefault="00220777" w:rsidP="00564E88">
      <w:pPr>
        <w:spacing w:after="0" w:line="240" w:lineRule="auto"/>
        <w:ind w:firstLine="567"/>
        <w:jc w:val="both"/>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 xml:space="preserve">Законодательно закрепить права НКО на участие в выборах в части повышения явки избирателей. </w:t>
      </w:r>
    </w:p>
    <w:p w:rsidR="00564E88" w:rsidRDefault="00220777" w:rsidP="00564E88">
      <w:pPr>
        <w:widowControl w:val="0"/>
        <w:overflowPunct w:val="0"/>
        <w:autoSpaceDE w:val="0"/>
        <w:autoSpaceDN w:val="0"/>
        <w:adjustRightInd w:val="0"/>
        <w:spacing w:after="0" w:line="240" w:lineRule="auto"/>
        <w:ind w:firstLine="567"/>
        <w:jc w:val="both"/>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Предложения и рекомендации для некоммерческих организаций:</w:t>
      </w:r>
    </w:p>
    <w:p w:rsidR="00564E88" w:rsidRDefault="00220777" w:rsidP="00564E88">
      <w:pPr>
        <w:widowControl w:val="0"/>
        <w:overflowPunct w:val="0"/>
        <w:autoSpaceDE w:val="0"/>
        <w:autoSpaceDN w:val="0"/>
        <w:adjustRightInd w:val="0"/>
        <w:spacing w:after="0" w:line="240" w:lineRule="auto"/>
        <w:ind w:firstLine="567"/>
        <w:jc w:val="both"/>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Предусмотреть в своей деятельности разработку проектов и мероприятий, направленных на информирование избирателей о предстоящем голосовании.  В качестве примера успешной практики агитации можно отметить деятельность московских НКО в подготовке выборов Президента РФ в марте 2018 года. Представители НКО провели более 60 акций под слоганом #</w:t>
      </w:r>
      <w:proofErr w:type="spellStart"/>
      <w:r w:rsidRPr="00220777">
        <w:rPr>
          <w:rFonts w:ascii="Times New Roman" w:eastAsia="Times New Roman" w:hAnsi="Times New Roman" w:cs="Times New Roman"/>
          <w:sz w:val="24"/>
          <w:szCs w:val="24"/>
          <w:lang w:eastAsia="ru-RU"/>
        </w:rPr>
        <w:t>Явыбираюсам</w:t>
      </w:r>
      <w:proofErr w:type="spellEnd"/>
      <w:r w:rsidRPr="00220777">
        <w:rPr>
          <w:rFonts w:ascii="Times New Roman" w:eastAsia="Times New Roman" w:hAnsi="Times New Roman" w:cs="Times New Roman"/>
          <w:sz w:val="24"/>
          <w:szCs w:val="24"/>
          <w:lang w:eastAsia="ru-RU"/>
        </w:rPr>
        <w:t xml:space="preserve"> в каждом округе Москвы. В акциях принимали участие более 3 тысяч представителей НКО, которые организуют фестивали, мастер-классы, семинары и социологические опросы. В парке им. Воровского общественники провели музыкальный </w:t>
      </w:r>
      <w:proofErr w:type="spellStart"/>
      <w:r w:rsidRPr="00220777">
        <w:rPr>
          <w:rFonts w:ascii="Times New Roman" w:eastAsia="Times New Roman" w:hAnsi="Times New Roman" w:cs="Times New Roman"/>
          <w:sz w:val="24"/>
          <w:szCs w:val="24"/>
          <w:lang w:eastAsia="ru-RU"/>
        </w:rPr>
        <w:t>флешмоб</w:t>
      </w:r>
      <w:proofErr w:type="spellEnd"/>
      <w:r w:rsidRPr="00220777">
        <w:rPr>
          <w:rFonts w:ascii="Times New Roman" w:eastAsia="Times New Roman" w:hAnsi="Times New Roman" w:cs="Times New Roman"/>
          <w:sz w:val="24"/>
          <w:szCs w:val="24"/>
          <w:lang w:eastAsia="ru-RU"/>
        </w:rPr>
        <w:t xml:space="preserve"> в поддержку выборов президента. В нем приняли участие более 100 представителей от разных НКО. С помощью ударных и шумовых инструментов участники создали ритм движения #</w:t>
      </w:r>
      <w:proofErr w:type="spellStart"/>
      <w:r w:rsidRPr="00220777">
        <w:rPr>
          <w:rFonts w:ascii="Times New Roman" w:eastAsia="Times New Roman" w:hAnsi="Times New Roman" w:cs="Times New Roman"/>
          <w:sz w:val="24"/>
          <w:szCs w:val="24"/>
          <w:lang w:eastAsia="ru-RU"/>
        </w:rPr>
        <w:t>ЯвыбираюСАМ</w:t>
      </w:r>
      <w:proofErr w:type="spellEnd"/>
      <w:r w:rsidRPr="00220777">
        <w:rPr>
          <w:rFonts w:ascii="Times New Roman" w:eastAsia="Times New Roman" w:hAnsi="Times New Roman" w:cs="Times New Roman"/>
          <w:sz w:val="24"/>
          <w:szCs w:val="24"/>
          <w:vertAlign w:val="superscript"/>
          <w:lang w:eastAsia="ru-RU"/>
        </w:rPr>
        <w:footnoteReference w:id="5"/>
      </w:r>
      <w:r w:rsidRPr="00220777">
        <w:rPr>
          <w:rFonts w:ascii="Times New Roman" w:eastAsia="Times New Roman" w:hAnsi="Times New Roman" w:cs="Times New Roman"/>
          <w:sz w:val="24"/>
          <w:szCs w:val="24"/>
          <w:lang w:eastAsia="ru-RU"/>
        </w:rPr>
        <w:t xml:space="preserve">. Аналогичные мероприятия было бы эффективно проводить и в других субъектах Российской Федерации. </w:t>
      </w:r>
    </w:p>
    <w:p w:rsidR="00564E88" w:rsidRDefault="00220777" w:rsidP="00564E88">
      <w:pPr>
        <w:widowControl w:val="0"/>
        <w:overflowPunct w:val="0"/>
        <w:autoSpaceDE w:val="0"/>
        <w:autoSpaceDN w:val="0"/>
        <w:adjustRightInd w:val="0"/>
        <w:spacing w:after="0" w:line="240" w:lineRule="auto"/>
        <w:ind w:firstLine="567"/>
        <w:jc w:val="both"/>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 xml:space="preserve">Перспективным направлением деятельности НКО является подготовка заявок на </w:t>
      </w:r>
      <w:r w:rsidRPr="00220777">
        <w:rPr>
          <w:rFonts w:ascii="Times New Roman" w:eastAsia="Times New Roman" w:hAnsi="Times New Roman" w:cs="Times New Roman"/>
          <w:sz w:val="24"/>
          <w:szCs w:val="24"/>
          <w:lang w:eastAsia="ru-RU"/>
        </w:rPr>
        <w:lastRenderedPageBreak/>
        <w:t xml:space="preserve">конкурсы с проектами, направленными на мобилизацию избирателей. Как отмечалось ранее, </w:t>
      </w:r>
      <w:proofErr w:type="spellStart"/>
      <w:r w:rsidRPr="00220777">
        <w:rPr>
          <w:rFonts w:ascii="Times New Roman" w:eastAsia="Times New Roman" w:hAnsi="Times New Roman" w:cs="Times New Roman"/>
          <w:sz w:val="24"/>
          <w:szCs w:val="24"/>
          <w:lang w:eastAsia="ru-RU"/>
        </w:rPr>
        <w:t>грантодатедем</w:t>
      </w:r>
      <w:proofErr w:type="spellEnd"/>
      <w:r w:rsidRPr="00220777">
        <w:rPr>
          <w:rFonts w:ascii="Times New Roman" w:eastAsia="Times New Roman" w:hAnsi="Times New Roman" w:cs="Times New Roman"/>
          <w:sz w:val="24"/>
          <w:szCs w:val="24"/>
          <w:lang w:eastAsia="ru-RU"/>
        </w:rPr>
        <w:t xml:space="preserve"> может выступить Фонд президентских грантов.</w:t>
      </w:r>
    </w:p>
    <w:p w:rsidR="00220777" w:rsidRPr="00220777" w:rsidRDefault="00220777" w:rsidP="00564E88">
      <w:pPr>
        <w:widowControl w:val="0"/>
        <w:overflowPunct w:val="0"/>
        <w:autoSpaceDE w:val="0"/>
        <w:autoSpaceDN w:val="0"/>
        <w:adjustRightInd w:val="0"/>
        <w:spacing w:after="0" w:line="240" w:lineRule="auto"/>
        <w:ind w:firstLine="567"/>
        <w:jc w:val="both"/>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Для успешной реализации проектов и мероприятий НКО необходимо обеспечить эффективное обучение персонала и волонтеров НКО основам законодательных норм. Одна из ключевых областей просвещения избирателей заключается в понимании избирательного права и процесса, в повышении правовой и политической культуры.</w:t>
      </w:r>
    </w:p>
    <w:p w:rsidR="0066551D" w:rsidRDefault="00220777" w:rsidP="00220777">
      <w:pPr>
        <w:spacing w:after="0" w:line="240" w:lineRule="auto"/>
        <w:ind w:firstLine="567"/>
        <w:jc w:val="both"/>
        <w:rPr>
          <w:rFonts w:ascii="Times New Roman" w:eastAsia="Times New Roman" w:hAnsi="Times New Roman" w:cs="Times New Roman"/>
          <w:sz w:val="24"/>
          <w:szCs w:val="24"/>
          <w:lang w:eastAsia="ru-RU"/>
        </w:rPr>
      </w:pPr>
      <w:r w:rsidRPr="00220777">
        <w:rPr>
          <w:rFonts w:ascii="Times New Roman" w:eastAsia="Times New Roman" w:hAnsi="Times New Roman" w:cs="Times New Roman"/>
          <w:sz w:val="24"/>
          <w:szCs w:val="24"/>
          <w:lang w:eastAsia="ru-RU"/>
        </w:rPr>
        <w:t>Некоммерческие организации обладают уникальным информационным потенциалом в социальных сетях, что может содействовать повышению эффективности их работы по привлечению избирателей. Социальные сети создают чувство онлайн-сообщества, которое повышает мотивацию избирателей, имеющих право голоса. Как показывают результаты исследования</w:t>
      </w:r>
      <w:r w:rsidR="006B47FA" w:rsidRPr="006B47FA">
        <w:rPr>
          <w:rFonts w:ascii="Times New Roman" w:eastAsia="Times New Roman" w:hAnsi="Times New Roman" w:cs="Times New Roman"/>
          <w:sz w:val="24"/>
          <w:szCs w:val="24"/>
          <w:lang w:eastAsia="ru-RU"/>
        </w:rPr>
        <w:t xml:space="preserve"> [</w:t>
      </w:r>
      <w:r w:rsidR="003A3815">
        <w:rPr>
          <w:rFonts w:ascii="Times New Roman" w:eastAsia="Times New Roman" w:hAnsi="Times New Roman" w:cs="Times New Roman"/>
          <w:sz w:val="24"/>
          <w:szCs w:val="24"/>
          <w:lang w:eastAsia="ru-RU"/>
        </w:rPr>
        <w:t>1</w:t>
      </w:r>
      <w:r w:rsidR="006B47FA" w:rsidRPr="006B47FA">
        <w:rPr>
          <w:rFonts w:ascii="Times New Roman" w:eastAsia="Times New Roman" w:hAnsi="Times New Roman" w:cs="Times New Roman"/>
          <w:sz w:val="24"/>
          <w:szCs w:val="24"/>
          <w:lang w:eastAsia="ru-RU"/>
        </w:rPr>
        <w:t>]</w:t>
      </w:r>
      <w:r w:rsidRPr="00220777">
        <w:rPr>
          <w:rFonts w:ascii="Times New Roman" w:eastAsia="Times New Roman" w:hAnsi="Times New Roman" w:cs="Times New Roman"/>
          <w:sz w:val="24"/>
          <w:szCs w:val="24"/>
          <w:lang w:eastAsia="ru-RU"/>
        </w:rPr>
        <w:t xml:space="preserve">, люди быстро обмениваются политическими мнениями через социальные сети. Такое поведение может быть использовано для эффективной мобилизации потенциальных избирателей. Если человек видит, что окружающие собираются пойти на выборы, он сам начинает склоняться к тому, чтоб принять участие в голосовании.  В качестве инструмента повышения электоральной активности граждан возможно применение </w:t>
      </w:r>
      <w:proofErr w:type="spellStart"/>
      <w:r w:rsidRPr="00220777">
        <w:rPr>
          <w:rFonts w:ascii="Times New Roman" w:eastAsia="Times New Roman" w:hAnsi="Times New Roman" w:cs="Times New Roman"/>
          <w:sz w:val="24"/>
          <w:szCs w:val="24"/>
          <w:lang w:eastAsia="ru-RU"/>
        </w:rPr>
        <w:t>таргетированной</w:t>
      </w:r>
      <w:proofErr w:type="spellEnd"/>
      <w:r w:rsidRPr="00220777">
        <w:rPr>
          <w:rFonts w:ascii="Times New Roman" w:eastAsia="Times New Roman" w:hAnsi="Times New Roman" w:cs="Times New Roman"/>
          <w:sz w:val="24"/>
          <w:szCs w:val="24"/>
          <w:lang w:eastAsia="ru-RU"/>
        </w:rPr>
        <w:t xml:space="preserve"> рекламы. Также предлагается на сайтах НКО создать кнопку «Я проголосовал», которой можно поделиться с подписчиками.  В дополнение могут организовываться интернет - форумы, являющиеся эффективным способом просвещения сообщества и информирования о предстоящих выборах.</w:t>
      </w:r>
    </w:p>
    <w:p w:rsidR="00220777" w:rsidRDefault="00220777" w:rsidP="00564E88">
      <w:pPr>
        <w:spacing w:after="0" w:line="240" w:lineRule="auto"/>
        <w:jc w:val="both"/>
        <w:rPr>
          <w:rFonts w:ascii="Times New Roman" w:eastAsia="Times New Roman" w:hAnsi="Times New Roman" w:cs="Times New Roman"/>
          <w:sz w:val="24"/>
          <w:szCs w:val="24"/>
          <w:lang w:eastAsia="ru-RU"/>
        </w:rPr>
      </w:pPr>
    </w:p>
    <w:p w:rsidR="00564E88" w:rsidRDefault="00564E88" w:rsidP="00564E88">
      <w:pPr>
        <w:pStyle w:val="a9"/>
        <w:ind w:left="567"/>
        <w:jc w:val="center"/>
        <w:rPr>
          <w:b/>
        </w:rPr>
      </w:pPr>
      <w:r>
        <w:rPr>
          <w:b/>
        </w:rPr>
        <w:t>ЛИТЕРАТУРА</w:t>
      </w:r>
    </w:p>
    <w:p w:rsidR="00564E88" w:rsidRDefault="00564E88" w:rsidP="00564E88">
      <w:pPr>
        <w:tabs>
          <w:tab w:val="left" w:pos="851"/>
        </w:tabs>
        <w:spacing w:after="0" w:line="240" w:lineRule="auto"/>
        <w:ind w:left="567"/>
        <w:jc w:val="center"/>
        <w:rPr>
          <w:rFonts w:ascii="Times New Roman" w:eastAsia="Times New Roman" w:hAnsi="Times New Roman" w:cs="Times New Roman"/>
          <w:b/>
          <w:sz w:val="24"/>
          <w:szCs w:val="24"/>
          <w:lang w:eastAsia="ru-RU"/>
        </w:rPr>
      </w:pPr>
    </w:p>
    <w:p w:rsidR="003A3815" w:rsidRPr="003A3815" w:rsidRDefault="003A3815" w:rsidP="003A3815">
      <w:pPr>
        <w:pStyle w:val="a3"/>
        <w:numPr>
          <w:ilvl w:val="0"/>
          <w:numId w:val="2"/>
        </w:numPr>
        <w:ind w:left="0" w:firstLine="360"/>
        <w:jc w:val="both"/>
        <w:rPr>
          <w:rFonts w:ascii="Times New Roman" w:hAnsi="Times New Roman" w:cs="Times New Roman"/>
          <w:sz w:val="24"/>
          <w:szCs w:val="24"/>
          <w:lang w:val="en-US"/>
        </w:rPr>
      </w:pPr>
      <w:r>
        <w:rPr>
          <w:rFonts w:ascii="Times New Roman" w:hAnsi="Times New Roman" w:cs="Times New Roman"/>
          <w:sz w:val="24"/>
          <w:szCs w:val="24"/>
        </w:rPr>
        <w:t>Киселева А.М., Шпак Е.</w:t>
      </w:r>
      <w:r w:rsidRPr="003A3815">
        <w:rPr>
          <w:rFonts w:ascii="Times New Roman" w:hAnsi="Times New Roman" w:cs="Times New Roman"/>
          <w:sz w:val="24"/>
          <w:szCs w:val="24"/>
        </w:rPr>
        <w:t xml:space="preserve">А. Социальные сети в процессе коммуникации между властью и обществом // Вопросы управления. </w:t>
      </w:r>
      <w:r w:rsidRPr="003A3815">
        <w:rPr>
          <w:rFonts w:ascii="Times New Roman" w:hAnsi="Times New Roman" w:cs="Times New Roman"/>
          <w:sz w:val="24"/>
          <w:szCs w:val="24"/>
          <w:lang w:val="en-US"/>
        </w:rPr>
        <w:t xml:space="preserve">№ 6 (18). 2015. </w:t>
      </w:r>
      <w:r w:rsidRPr="003A3815">
        <w:rPr>
          <w:rFonts w:ascii="Times New Roman" w:hAnsi="Times New Roman" w:cs="Times New Roman"/>
          <w:sz w:val="24"/>
          <w:szCs w:val="24"/>
        </w:rPr>
        <w:t>С</w:t>
      </w:r>
      <w:r w:rsidRPr="003A3815">
        <w:rPr>
          <w:rFonts w:ascii="Times New Roman" w:hAnsi="Times New Roman" w:cs="Times New Roman"/>
          <w:sz w:val="24"/>
          <w:szCs w:val="24"/>
          <w:lang w:val="en-US"/>
        </w:rPr>
        <w:t>. 66-75. </w:t>
      </w:r>
    </w:p>
    <w:p w:rsidR="006B47FA" w:rsidRPr="003A3815" w:rsidRDefault="006B47FA" w:rsidP="003A3815">
      <w:pPr>
        <w:pStyle w:val="a3"/>
        <w:numPr>
          <w:ilvl w:val="0"/>
          <w:numId w:val="2"/>
        </w:numPr>
        <w:ind w:left="0" w:firstLine="360"/>
        <w:jc w:val="both"/>
        <w:rPr>
          <w:rFonts w:ascii="Times New Roman" w:hAnsi="Times New Roman" w:cs="Times New Roman"/>
          <w:sz w:val="24"/>
          <w:szCs w:val="24"/>
          <w:lang w:val="en-US"/>
        </w:rPr>
      </w:pPr>
      <w:proofErr w:type="spellStart"/>
      <w:r w:rsidRPr="003A3815">
        <w:rPr>
          <w:rFonts w:ascii="Times New Roman" w:hAnsi="Times New Roman" w:cs="Times New Roman"/>
          <w:sz w:val="24"/>
          <w:szCs w:val="24"/>
          <w:lang w:val="en-US"/>
        </w:rPr>
        <w:t>Rongitsch</w:t>
      </w:r>
      <w:proofErr w:type="spellEnd"/>
      <w:r w:rsidRPr="003A3815">
        <w:rPr>
          <w:rFonts w:ascii="Times New Roman" w:hAnsi="Times New Roman" w:cs="Times New Roman"/>
          <w:sz w:val="24"/>
          <w:szCs w:val="24"/>
          <w:lang w:val="en-US"/>
        </w:rPr>
        <w:t xml:space="preserve"> B. Election 2008: More Nonprofits Engaging More Voters //The Nonprofit Quarterly. 2008</w:t>
      </w:r>
    </w:p>
    <w:p w:rsidR="006B47FA" w:rsidRPr="003A3815" w:rsidRDefault="006B47FA" w:rsidP="003A3815">
      <w:pPr>
        <w:pStyle w:val="a3"/>
        <w:numPr>
          <w:ilvl w:val="0"/>
          <w:numId w:val="2"/>
        </w:numPr>
        <w:ind w:left="0" w:firstLine="360"/>
        <w:jc w:val="both"/>
        <w:rPr>
          <w:rFonts w:ascii="Times New Roman" w:hAnsi="Times New Roman" w:cs="Times New Roman"/>
          <w:sz w:val="24"/>
          <w:szCs w:val="24"/>
          <w:lang w:val="en-US"/>
        </w:rPr>
      </w:pPr>
      <w:r w:rsidRPr="003A3815">
        <w:rPr>
          <w:rFonts w:ascii="Times New Roman" w:hAnsi="Times New Roman" w:cs="Times New Roman"/>
          <w:sz w:val="24"/>
          <w:szCs w:val="24"/>
          <w:lang w:val="en-US"/>
        </w:rPr>
        <w:t>Gerber A., Green D. Get Out the Vote. Washington. US: Brookings Institution Press. 2008. P. 22-36</w:t>
      </w:r>
    </w:p>
    <w:p w:rsidR="006B47FA" w:rsidRPr="00E90119" w:rsidRDefault="006B47FA" w:rsidP="003A3815">
      <w:pPr>
        <w:pStyle w:val="a3"/>
        <w:numPr>
          <w:ilvl w:val="0"/>
          <w:numId w:val="2"/>
        </w:numPr>
        <w:ind w:left="0" w:firstLine="360"/>
        <w:jc w:val="both"/>
        <w:rPr>
          <w:rFonts w:ascii="Times New Roman" w:hAnsi="Times New Roman" w:cs="Times New Roman"/>
          <w:sz w:val="24"/>
          <w:szCs w:val="24"/>
          <w:lang w:val="en-US"/>
        </w:rPr>
      </w:pPr>
      <w:proofErr w:type="spellStart"/>
      <w:r w:rsidRPr="003A3815">
        <w:rPr>
          <w:rFonts w:ascii="Times New Roman" w:hAnsi="Times New Roman" w:cs="Times New Roman"/>
          <w:color w:val="010101"/>
          <w:sz w:val="24"/>
          <w:szCs w:val="24"/>
          <w:shd w:val="clear" w:color="auto" w:fill="FFFFFF"/>
          <w:lang w:val="en-US"/>
        </w:rPr>
        <w:t>LeRoux</w:t>
      </w:r>
      <w:proofErr w:type="spellEnd"/>
      <w:r w:rsidRPr="003A3815">
        <w:rPr>
          <w:rFonts w:ascii="Times New Roman" w:hAnsi="Times New Roman" w:cs="Times New Roman"/>
          <w:color w:val="010101"/>
          <w:sz w:val="24"/>
          <w:szCs w:val="24"/>
          <w:shd w:val="clear" w:color="auto" w:fill="FFFFFF"/>
          <w:lang w:val="en-US"/>
        </w:rPr>
        <w:t xml:space="preserve"> K., </w:t>
      </w:r>
      <w:proofErr w:type="spellStart"/>
      <w:r w:rsidRPr="003A3815">
        <w:rPr>
          <w:rFonts w:ascii="Times New Roman" w:hAnsi="Times New Roman" w:cs="Times New Roman"/>
          <w:color w:val="010101"/>
          <w:sz w:val="24"/>
          <w:szCs w:val="24"/>
          <w:shd w:val="clear" w:color="auto" w:fill="FFFFFF"/>
          <w:lang w:val="en-US"/>
        </w:rPr>
        <w:t>Krawczyk</w:t>
      </w:r>
      <w:proofErr w:type="spellEnd"/>
      <w:r w:rsidRPr="003A3815">
        <w:rPr>
          <w:rFonts w:ascii="Times New Roman" w:hAnsi="Times New Roman" w:cs="Times New Roman"/>
          <w:color w:val="010101"/>
          <w:sz w:val="24"/>
          <w:szCs w:val="24"/>
          <w:shd w:val="clear" w:color="auto" w:fill="FFFFFF"/>
          <w:lang w:val="en-US"/>
        </w:rPr>
        <w:t xml:space="preserve"> K. Can Nonprofit Organizations Increase Voter Turnout? Findings From an Agency-Based Voter Mobilization Experiment. URL: </w:t>
      </w:r>
      <w:hyperlink r:id="rId9" w:history="1">
        <w:r w:rsidRPr="003A3815">
          <w:rPr>
            <w:rStyle w:val="a6"/>
            <w:rFonts w:ascii="Times New Roman" w:hAnsi="Times New Roman"/>
            <w:sz w:val="24"/>
            <w:szCs w:val="24"/>
            <w:shd w:val="clear" w:color="auto" w:fill="FFFFFF"/>
            <w:lang w:val="en-US"/>
          </w:rPr>
          <w:t>https://journals.sagepub.com/doi/abs/10.1177/0899764012459909</w:t>
        </w:r>
      </w:hyperlink>
      <w:r w:rsidRPr="003A3815">
        <w:rPr>
          <w:rFonts w:ascii="Times New Roman" w:hAnsi="Times New Roman" w:cs="Times New Roman"/>
          <w:color w:val="010101"/>
          <w:sz w:val="24"/>
          <w:szCs w:val="24"/>
          <w:shd w:val="clear" w:color="auto" w:fill="FFFFFF"/>
          <w:lang w:val="en-US"/>
        </w:rPr>
        <w:t xml:space="preserve"> (</w:t>
      </w:r>
      <w:r w:rsidRPr="003A3815">
        <w:rPr>
          <w:rFonts w:ascii="Times New Roman" w:hAnsi="Times New Roman" w:cs="Times New Roman"/>
          <w:color w:val="010101"/>
          <w:sz w:val="24"/>
          <w:szCs w:val="24"/>
          <w:shd w:val="clear" w:color="auto" w:fill="FFFFFF"/>
        </w:rPr>
        <w:t>дата</w:t>
      </w:r>
      <w:r w:rsidRPr="003A3815">
        <w:rPr>
          <w:rFonts w:ascii="Times New Roman" w:hAnsi="Times New Roman" w:cs="Times New Roman"/>
          <w:color w:val="010101"/>
          <w:sz w:val="24"/>
          <w:szCs w:val="24"/>
          <w:shd w:val="clear" w:color="auto" w:fill="FFFFFF"/>
          <w:lang w:val="en-US"/>
        </w:rPr>
        <w:t xml:space="preserve"> </w:t>
      </w:r>
      <w:r w:rsidRPr="003A3815">
        <w:rPr>
          <w:rFonts w:ascii="Times New Roman" w:hAnsi="Times New Roman" w:cs="Times New Roman"/>
          <w:color w:val="010101"/>
          <w:sz w:val="24"/>
          <w:szCs w:val="24"/>
          <w:shd w:val="clear" w:color="auto" w:fill="FFFFFF"/>
        </w:rPr>
        <w:t>обращения</w:t>
      </w:r>
      <w:r w:rsidRPr="003A3815">
        <w:rPr>
          <w:rFonts w:ascii="Times New Roman" w:hAnsi="Times New Roman" w:cs="Times New Roman"/>
          <w:color w:val="010101"/>
          <w:sz w:val="24"/>
          <w:szCs w:val="24"/>
          <w:shd w:val="clear" w:color="auto" w:fill="FFFFFF"/>
          <w:lang w:val="en-US"/>
        </w:rPr>
        <w:t xml:space="preserve">  11.12.2018)</w:t>
      </w:r>
    </w:p>
    <w:p w:rsidR="00564E88" w:rsidRPr="00E90119" w:rsidRDefault="00564E88" w:rsidP="00564E88">
      <w:pPr>
        <w:tabs>
          <w:tab w:val="left" w:pos="851"/>
        </w:tabs>
        <w:spacing w:after="0" w:line="240" w:lineRule="auto"/>
        <w:ind w:left="567"/>
        <w:jc w:val="center"/>
        <w:rPr>
          <w:rFonts w:ascii="Times New Roman" w:eastAsia="Times New Roman" w:hAnsi="Times New Roman" w:cs="Times New Roman"/>
          <w:b/>
          <w:sz w:val="24"/>
          <w:szCs w:val="24"/>
          <w:lang w:val="en-US" w:eastAsia="ru-RU"/>
        </w:rPr>
      </w:pPr>
    </w:p>
    <w:p w:rsidR="00564E88" w:rsidRPr="00E90119" w:rsidRDefault="00564E88" w:rsidP="00564E88">
      <w:pPr>
        <w:tabs>
          <w:tab w:val="left" w:pos="851"/>
        </w:tabs>
        <w:spacing w:after="0" w:line="240" w:lineRule="auto"/>
        <w:ind w:left="567"/>
        <w:jc w:val="center"/>
        <w:rPr>
          <w:rFonts w:ascii="Times New Roman" w:eastAsia="Times New Roman" w:hAnsi="Times New Roman" w:cs="Times New Roman"/>
          <w:b/>
          <w:sz w:val="24"/>
          <w:szCs w:val="24"/>
          <w:lang w:val="en-US" w:eastAsia="ru-RU"/>
        </w:rPr>
      </w:pPr>
    </w:p>
    <w:p w:rsidR="00564E88" w:rsidRPr="00564E88" w:rsidRDefault="00564E88" w:rsidP="00564E88">
      <w:pPr>
        <w:tabs>
          <w:tab w:val="left" w:pos="851"/>
        </w:tabs>
        <w:spacing w:after="0" w:line="240" w:lineRule="auto"/>
        <w:ind w:left="567"/>
        <w:jc w:val="center"/>
        <w:rPr>
          <w:rFonts w:ascii="Times New Roman" w:eastAsia="Times New Roman" w:hAnsi="Times New Roman" w:cs="Times New Roman"/>
          <w:b/>
          <w:sz w:val="24"/>
          <w:szCs w:val="24"/>
          <w:lang w:eastAsia="ru-RU"/>
        </w:rPr>
      </w:pPr>
      <w:r w:rsidRPr="00564E88">
        <w:rPr>
          <w:rFonts w:ascii="Times New Roman" w:eastAsia="Times New Roman" w:hAnsi="Times New Roman" w:cs="Times New Roman"/>
          <w:b/>
          <w:sz w:val="24"/>
          <w:szCs w:val="24"/>
          <w:lang w:eastAsia="ru-RU"/>
        </w:rPr>
        <w:t>ИНФОРМАЦИЯ ОБ АВТОРЕ</w:t>
      </w:r>
    </w:p>
    <w:p w:rsidR="00564E88" w:rsidRPr="00564E88" w:rsidRDefault="00564E88" w:rsidP="00564E88">
      <w:pPr>
        <w:tabs>
          <w:tab w:val="left" w:pos="851"/>
        </w:tabs>
        <w:spacing w:after="0" w:line="240" w:lineRule="auto"/>
        <w:ind w:left="567"/>
        <w:jc w:val="center"/>
        <w:rPr>
          <w:rFonts w:ascii="Times New Roman" w:eastAsia="Times New Roman" w:hAnsi="Times New Roman" w:cs="Times New Roman"/>
          <w:sz w:val="20"/>
          <w:szCs w:val="20"/>
          <w:lang w:eastAsia="ru-RU"/>
        </w:rPr>
      </w:pPr>
    </w:p>
    <w:p w:rsidR="00564E88" w:rsidRPr="00E90119" w:rsidRDefault="00564E88" w:rsidP="00564E88">
      <w:pPr>
        <w:tabs>
          <w:tab w:val="left" w:pos="851"/>
        </w:tabs>
        <w:spacing w:after="0" w:line="240" w:lineRule="auto"/>
        <w:ind w:firstLine="709"/>
        <w:jc w:val="both"/>
        <w:rPr>
          <w:rFonts w:ascii="Times New Roman" w:eastAsia="Times New Roman" w:hAnsi="Times New Roman" w:cs="Times New Roman"/>
          <w:sz w:val="24"/>
          <w:szCs w:val="24"/>
          <w:lang w:eastAsia="ru-RU"/>
        </w:rPr>
      </w:pPr>
      <w:r w:rsidRPr="00564E88">
        <w:rPr>
          <w:rFonts w:ascii="Times New Roman" w:eastAsia="Times New Roman" w:hAnsi="Times New Roman" w:cs="Times New Roman"/>
          <w:sz w:val="24"/>
          <w:szCs w:val="24"/>
          <w:lang w:eastAsia="ru-RU"/>
        </w:rPr>
        <w:t xml:space="preserve">Косыгина Ксения Евгеньевна – аспирант. Федеральное государственное бюджетное учреждение науки «Вологодский научный центр Российской академии наук». Россия, 160014, г. Вологда, ул. Горького, д. 56а. </w:t>
      </w:r>
      <w:r w:rsidRPr="00564E88">
        <w:rPr>
          <w:rFonts w:ascii="Times New Roman" w:eastAsia="Times New Roman" w:hAnsi="Times New Roman" w:cs="Times New Roman"/>
          <w:sz w:val="24"/>
          <w:szCs w:val="24"/>
          <w:lang w:val="en-US" w:eastAsia="ru-RU"/>
        </w:rPr>
        <w:t>E</w:t>
      </w:r>
      <w:r w:rsidRPr="00E90119">
        <w:rPr>
          <w:rFonts w:ascii="Times New Roman" w:eastAsia="Times New Roman" w:hAnsi="Times New Roman" w:cs="Times New Roman"/>
          <w:sz w:val="24"/>
          <w:szCs w:val="24"/>
          <w:lang w:eastAsia="ru-RU"/>
        </w:rPr>
        <w:t>-</w:t>
      </w:r>
      <w:r w:rsidRPr="00564E88">
        <w:rPr>
          <w:rFonts w:ascii="Times New Roman" w:eastAsia="Times New Roman" w:hAnsi="Times New Roman" w:cs="Times New Roman"/>
          <w:sz w:val="24"/>
          <w:szCs w:val="24"/>
          <w:lang w:val="en-US" w:eastAsia="ru-RU"/>
        </w:rPr>
        <w:t>mail</w:t>
      </w:r>
      <w:r w:rsidRPr="00E90119">
        <w:rPr>
          <w:rFonts w:ascii="Times New Roman" w:eastAsia="Times New Roman" w:hAnsi="Times New Roman" w:cs="Times New Roman"/>
          <w:sz w:val="24"/>
          <w:szCs w:val="24"/>
          <w:lang w:eastAsia="ru-RU"/>
        </w:rPr>
        <w:t xml:space="preserve">: </w:t>
      </w:r>
      <w:proofErr w:type="spellStart"/>
      <w:r w:rsidRPr="00564E88">
        <w:rPr>
          <w:rFonts w:ascii="Times New Roman" w:eastAsia="Times New Roman" w:hAnsi="Times New Roman" w:cs="Times New Roman"/>
          <w:sz w:val="24"/>
          <w:szCs w:val="24"/>
          <w:lang w:val="en-US" w:eastAsia="ru-RU"/>
        </w:rPr>
        <w:t>sene</w:t>
      </w:r>
      <w:proofErr w:type="spellEnd"/>
      <w:r w:rsidRPr="00E90119">
        <w:rPr>
          <w:rFonts w:ascii="Times New Roman" w:eastAsia="Times New Roman" w:hAnsi="Times New Roman" w:cs="Times New Roman"/>
          <w:sz w:val="24"/>
          <w:szCs w:val="24"/>
          <w:lang w:eastAsia="ru-RU"/>
        </w:rPr>
        <w:t>4</w:t>
      </w:r>
      <w:proofErr w:type="spellStart"/>
      <w:r w:rsidRPr="00564E88">
        <w:rPr>
          <w:rFonts w:ascii="Times New Roman" w:eastAsia="Times New Roman" w:hAnsi="Times New Roman" w:cs="Times New Roman"/>
          <w:sz w:val="24"/>
          <w:szCs w:val="24"/>
          <w:lang w:val="en-US" w:eastAsia="ru-RU"/>
        </w:rPr>
        <w:t>ka</w:t>
      </w:r>
      <w:proofErr w:type="spellEnd"/>
      <w:r w:rsidRPr="00E90119">
        <w:rPr>
          <w:rFonts w:ascii="Times New Roman" w:eastAsia="Times New Roman" w:hAnsi="Times New Roman" w:cs="Times New Roman"/>
          <w:sz w:val="24"/>
          <w:szCs w:val="24"/>
          <w:lang w:eastAsia="ru-RU"/>
        </w:rPr>
        <w:t>.87@</w:t>
      </w:r>
      <w:r w:rsidRPr="00564E88">
        <w:rPr>
          <w:rFonts w:ascii="Times New Roman" w:eastAsia="Times New Roman" w:hAnsi="Times New Roman" w:cs="Times New Roman"/>
          <w:sz w:val="24"/>
          <w:szCs w:val="24"/>
          <w:lang w:val="en-US" w:eastAsia="ru-RU"/>
        </w:rPr>
        <w:t>mail</w:t>
      </w:r>
      <w:r w:rsidRPr="00E90119">
        <w:rPr>
          <w:rFonts w:ascii="Times New Roman" w:eastAsia="Times New Roman" w:hAnsi="Times New Roman" w:cs="Times New Roman"/>
          <w:sz w:val="24"/>
          <w:szCs w:val="24"/>
          <w:lang w:eastAsia="ru-RU"/>
        </w:rPr>
        <w:t>.</w:t>
      </w:r>
      <w:proofErr w:type="spellStart"/>
      <w:r w:rsidRPr="00564E88">
        <w:rPr>
          <w:rFonts w:ascii="Times New Roman" w:eastAsia="Times New Roman" w:hAnsi="Times New Roman" w:cs="Times New Roman"/>
          <w:sz w:val="24"/>
          <w:szCs w:val="24"/>
          <w:lang w:val="en-US" w:eastAsia="ru-RU"/>
        </w:rPr>
        <w:t>ru</w:t>
      </w:r>
      <w:proofErr w:type="spellEnd"/>
      <w:r w:rsidRPr="00E90119">
        <w:rPr>
          <w:rFonts w:ascii="Times New Roman" w:eastAsia="Times New Roman" w:hAnsi="Times New Roman" w:cs="Times New Roman"/>
          <w:sz w:val="24"/>
          <w:szCs w:val="24"/>
          <w:lang w:eastAsia="ru-RU"/>
        </w:rPr>
        <w:t xml:space="preserve">. </w:t>
      </w:r>
      <w:r w:rsidRPr="00564E88">
        <w:rPr>
          <w:rFonts w:ascii="Times New Roman" w:eastAsia="Times New Roman" w:hAnsi="Times New Roman" w:cs="Times New Roman"/>
          <w:sz w:val="24"/>
          <w:szCs w:val="24"/>
          <w:lang w:eastAsia="ru-RU"/>
        </w:rPr>
        <w:t>Тел</w:t>
      </w:r>
      <w:r w:rsidRPr="00E90119">
        <w:rPr>
          <w:rFonts w:ascii="Times New Roman" w:eastAsia="Times New Roman" w:hAnsi="Times New Roman" w:cs="Times New Roman"/>
          <w:sz w:val="24"/>
          <w:szCs w:val="24"/>
          <w:lang w:eastAsia="ru-RU"/>
        </w:rPr>
        <w:t>.: +7(8172) 59-78-10 (</w:t>
      </w:r>
      <w:r>
        <w:rPr>
          <w:rFonts w:ascii="Times New Roman" w:eastAsia="Times New Roman" w:hAnsi="Times New Roman" w:cs="Times New Roman"/>
          <w:sz w:val="24"/>
          <w:szCs w:val="24"/>
          <w:lang w:eastAsia="ru-RU"/>
        </w:rPr>
        <w:t>доб</w:t>
      </w:r>
      <w:r w:rsidRPr="00E90119">
        <w:rPr>
          <w:rFonts w:ascii="Times New Roman" w:eastAsia="Times New Roman" w:hAnsi="Times New Roman" w:cs="Times New Roman"/>
          <w:sz w:val="24"/>
          <w:szCs w:val="24"/>
          <w:lang w:eastAsia="ru-RU"/>
        </w:rPr>
        <w:t>. 600).</w:t>
      </w:r>
    </w:p>
    <w:p w:rsidR="00564E88" w:rsidRPr="00E90119" w:rsidRDefault="00564E88" w:rsidP="00564E88">
      <w:pPr>
        <w:tabs>
          <w:tab w:val="left" w:pos="851"/>
        </w:tabs>
        <w:spacing w:after="0" w:line="240" w:lineRule="auto"/>
        <w:ind w:left="567"/>
        <w:jc w:val="right"/>
        <w:rPr>
          <w:rFonts w:ascii="Times New Roman" w:eastAsia="Times New Roman" w:hAnsi="Times New Roman" w:cs="Times New Roman"/>
          <w:b/>
          <w:sz w:val="24"/>
          <w:szCs w:val="24"/>
          <w:lang w:eastAsia="ru-RU"/>
        </w:rPr>
      </w:pPr>
    </w:p>
    <w:p w:rsidR="006B47FA" w:rsidRPr="00E90119" w:rsidRDefault="006B47FA" w:rsidP="006B47FA">
      <w:pPr>
        <w:tabs>
          <w:tab w:val="left" w:pos="851"/>
        </w:tabs>
        <w:spacing w:after="0" w:line="240" w:lineRule="auto"/>
        <w:ind w:left="567"/>
        <w:jc w:val="center"/>
        <w:rPr>
          <w:rFonts w:ascii="Times New Roman" w:eastAsia="Times New Roman" w:hAnsi="Times New Roman" w:cs="Times New Roman"/>
          <w:b/>
          <w:sz w:val="24"/>
          <w:szCs w:val="24"/>
          <w:lang w:val="en-US" w:eastAsia="ru-RU"/>
        </w:rPr>
      </w:pPr>
      <w:r w:rsidRPr="00E90119">
        <w:rPr>
          <w:rFonts w:ascii="Times New Roman" w:eastAsia="Times New Roman" w:hAnsi="Times New Roman" w:cs="Times New Roman"/>
          <w:b/>
          <w:sz w:val="24"/>
          <w:szCs w:val="24"/>
          <w:lang w:val="en-US" w:eastAsia="ru-RU"/>
        </w:rPr>
        <w:t>NPO AS AN ELECTORAL RESOURCE</w:t>
      </w:r>
    </w:p>
    <w:p w:rsidR="00564E88" w:rsidRPr="00E90119" w:rsidRDefault="00564E88" w:rsidP="00564E88">
      <w:pPr>
        <w:tabs>
          <w:tab w:val="left" w:pos="851"/>
        </w:tabs>
        <w:spacing w:after="0" w:line="240" w:lineRule="auto"/>
        <w:ind w:left="567"/>
        <w:jc w:val="right"/>
        <w:rPr>
          <w:rFonts w:ascii="Times New Roman" w:eastAsia="Times New Roman" w:hAnsi="Times New Roman" w:cs="Times New Roman"/>
          <w:b/>
          <w:sz w:val="24"/>
          <w:szCs w:val="24"/>
          <w:lang w:val="en-US" w:eastAsia="ru-RU"/>
        </w:rPr>
      </w:pPr>
      <w:proofErr w:type="spellStart"/>
      <w:r w:rsidRPr="00564E88">
        <w:rPr>
          <w:rFonts w:ascii="Times New Roman" w:eastAsia="Times New Roman" w:hAnsi="Times New Roman" w:cs="Times New Roman"/>
          <w:b/>
          <w:sz w:val="24"/>
          <w:szCs w:val="24"/>
          <w:lang w:val="en-US" w:eastAsia="ru-RU"/>
        </w:rPr>
        <w:t>Kosygina</w:t>
      </w:r>
      <w:proofErr w:type="spellEnd"/>
      <w:r w:rsidRPr="00564E88">
        <w:rPr>
          <w:rFonts w:ascii="Times New Roman" w:eastAsia="Times New Roman" w:hAnsi="Times New Roman" w:cs="Times New Roman"/>
          <w:b/>
          <w:sz w:val="24"/>
          <w:szCs w:val="24"/>
          <w:lang w:val="en-US" w:eastAsia="ru-RU"/>
        </w:rPr>
        <w:t xml:space="preserve"> K.E.</w:t>
      </w:r>
    </w:p>
    <w:p w:rsidR="006B47FA" w:rsidRPr="00E90119" w:rsidRDefault="006B47FA" w:rsidP="00564E88">
      <w:pPr>
        <w:tabs>
          <w:tab w:val="left" w:pos="851"/>
        </w:tabs>
        <w:spacing w:after="0" w:line="240" w:lineRule="auto"/>
        <w:ind w:left="567"/>
        <w:jc w:val="right"/>
        <w:rPr>
          <w:rFonts w:ascii="Times New Roman" w:eastAsia="Times New Roman" w:hAnsi="Times New Roman" w:cs="Times New Roman"/>
          <w:b/>
          <w:sz w:val="24"/>
          <w:szCs w:val="24"/>
          <w:lang w:val="en-US" w:eastAsia="ru-RU"/>
        </w:rPr>
      </w:pPr>
    </w:p>
    <w:p w:rsidR="006B47FA" w:rsidRPr="00E90119" w:rsidRDefault="006B47FA" w:rsidP="006B47FA">
      <w:pPr>
        <w:tabs>
          <w:tab w:val="left" w:pos="851"/>
        </w:tabs>
        <w:spacing w:after="0" w:line="240" w:lineRule="auto"/>
        <w:ind w:firstLine="567"/>
        <w:jc w:val="both"/>
        <w:rPr>
          <w:rFonts w:ascii="Times New Roman" w:eastAsia="Times New Roman" w:hAnsi="Times New Roman" w:cs="Times New Roman"/>
          <w:sz w:val="24"/>
          <w:szCs w:val="24"/>
          <w:lang w:val="en-US" w:eastAsia="ru-RU"/>
        </w:rPr>
      </w:pPr>
      <w:r w:rsidRPr="006B47FA">
        <w:rPr>
          <w:rFonts w:ascii="Times New Roman" w:eastAsia="Times New Roman" w:hAnsi="Times New Roman" w:cs="Times New Roman"/>
          <w:b/>
          <w:sz w:val="24"/>
          <w:szCs w:val="24"/>
          <w:lang w:val="en-US" w:eastAsia="ru-RU"/>
        </w:rPr>
        <w:t>Annotation:</w:t>
      </w:r>
      <w:r w:rsidRPr="006B47FA">
        <w:rPr>
          <w:rFonts w:ascii="Times New Roman" w:eastAsia="Times New Roman" w:hAnsi="Times New Roman" w:cs="Times New Roman"/>
          <w:sz w:val="24"/>
          <w:szCs w:val="24"/>
          <w:lang w:val="en-US" w:eastAsia="ru-RU"/>
        </w:rPr>
        <w:t xml:space="preserve"> On the basis of foreign studies, statistical data, as well as monitoring of public opinion, </w:t>
      </w:r>
      <w:proofErr w:type="spellStart"/>
      <w:r w:rsidRPr="006B47FA">
        <w:rPr>
          <w:rFonts w:ascii="Times New Roman" w:eastAsia="Times New Roman" w:hAnsi="Times New Roman" w:cs="Times New Roman"/>
          <w:sz w:val="24"/>
          <w:szCs w:val="24"/>
          <w:lang w:val="en-US" w:eastAsia="ru-RU"/>
        </w:rPr>
        <w:t>VolSC</w:t>
      </w:r>
      <w:proofErr w:type="spellEnd"/>
      <w:r w:rsidRPr="006B47FA">
        <w:rPr>
          <w:rFonts w:ascii="Times New Roman" w:eastAsia="Times New Roman" w:hAnsi="Times New Roman" w:cs="Times New Roman"/>
          <w:sz w:val="24"/>
          <w:szCs w:val="24"/>
          <w:lang w:val="en-US" w:eastAsia="ru-RU"/>
        </w:rPr>
        <w:t xml:space="preserve"> of RAS, the expediency of involving the non-profit sector in the electoral process with the aim of increasing the electoral activity of citizens is justified. Formulated recommendations to state authorities, election commissions, public chambers on the involvement of NGOs in the electoral process.</w:t>
      </w:r>
    </w:p>
    <w:p w:rsidR="003A3815" w:rsidRPr="00E90119" w:rsidRDefault="003A3815" w:rsidP="006B47FA">
      <w:pPr>
        <w:tabs>
          <w:tab w:val="left" w:pos="851"/>
        </w:tabs>
        <w:spacing w:after="0" w:line="240" w:lineRule="auto"/>
        <w:ind w:firstLine="567"/>
        <w:jc w:val="both"/>
        <w:rPr>
          <w:rFonts w:ascii="Times New Roman" w:eastAsia="Times New Roman" w:hAnsi="Times New Roman" w:cs="Times New Roman"/>
          <w:sz w:val="24"/>
          <w:szCs w:val="24"/>
          <w:lang w:val="en-US" w:eastAsia="ru-RU"/>
        </w:rPr>
      </w:pPr>
    </w:p>
    <w:p w:rsidR="006B47FA" w:rsidRPr="00E90119" w:rsidRDefault="006B47FA" w:rsidP="006B47FA">
      <w:pPr>
        <w:tabs>
          <w:tab w:val="left" w:pos="851"/>
        </w:tabs>
        <w:spacing w:after="0" w:line="240" w:lineRule="auto"/>
        <w:ind w:firstLine="567"/>
        <w:jc w:val="both"/>
        <w:rPr>
          <w:rFonts w:ascii="Times New Roman" w:eastAsia="Times New Roman" w:hAnsi="Times New Roman" w:cs="Times New Roman"/>
          <w:sz w:val="24"/>
          <w:szCs w:val="24"/>
          <w:lang w:val="en-US" w:eastAsia="ru-RU"/>
        </w:rPr>
      </w:pPr>
      <w:r w:rsidRPr="006B47FA">
        <w:rPr>
          <w:rFonts w:ascii="Times New Roman" w:eastAsia="Times New Roman" w:hAnsi="Times New Roman" w:cs="Times New Roman"/>
          <w:b/>
          <w:sz w:val="24"/>
          <w:szCs w:val="24"/>
          <w:lang w:val="en-US" w:eastAsia="ru-RU"/>
        </w:rPr>
        <w:t>Keywords:</w:t>
      </w:r>
      <w:r w:rsidRPr="006B47FA">
        <w:rPr>
          <w:rFonts w:ascii="Times New Roman" w:eastAsia="Times New Roman" w:hAnsi="Times New Roman" w:cs="Times New Roman"/>
          <w:sz w:val="24"/>
          <w:szCs w:val="24"/>
          <w:lang w:val="en-US" w:eastAsia="ru-RU"/>
        </w:rPr>
        <w:t xml:space="preserve"> non-profit organizations, electoral process, electoral activity, activity of citizens</w:t>
      </w:r>
    </w:p>
    <w:p w:rsidR="003A3815" w:rsidRPr="00E90119" w:rsidRDefault="003A3815" w:rsidP="003A3815">
      <w:pPr>
        <w:tabs>
          <w:tab w:val="left" w:pos="851"/>
        </w:tabs>
        <w:spacing w:after="0" w:line="240" w:lineRule="auto"/>
        <w:ind w:firstLine="567"/>
        <w:jc w:val="both"/>
        <w:rPr>
          <w:rFonts w:ascii="Times New Roman" w:eastAsia="Times New Roman" w:hAnsi="Times New Roman" w:cs="Times New Roman"/>
          <w:sz w:val="24"/>
          <w:szCs w:val="24"/>
          <w:lang w:val="en-US" w:eastAsia="ru-RU"/>
        </w:rPr>
      </w:pPr>
    </w:p>
    <w:p w:rsidR="003A3815" w:rsidRPr="00E90119" w:rsidRDefault="003A3815" w:rsidP="003A3815">
      <w:pPr>
        <w:tabs>
          <w:tab w:val="left" w:pos="851"/>
        </w:tabs>
        <w:spacing w:after="0" w:line="240" w:lineRule="auto"/>
        <w:ind w:firstLine="567"/>
        <w:jc w:val="center"/>
        <w:rPr>
          <w:rFonts w:ascii="Times New Roman" w:eastAsia="Times New Roman" w:hAnsi="Times New Roman" w:cs="Times New Roman"/>
          <w:b/>
          <w:sz w:val="24"/>
          <w:szCs w:val="24"/>
          <w:lang w:val="en-US" w:eastAsia="ru-RU"/>
        </w:rPr>
      </w:pPr>
      <w:r w:rsidRPr="003A3815">
        <w:rPr>
          <w:rFonts w:ascii="Times New Roman" w:eastAsia="Times New Roman" w:hAnsi="Times New Roman" w:cs="Times New Roman"/>
          <w:b/>
          <w:sz w:val="24"/>
          <w:szCs w:val="24"/>
          <w:lang w:val="en-US" w:eastAsia="ru-RU"/>
        </w:rPr>
        <w:t>INFORMATION ABOUT THE AUTHOR</w:t>
      </w:r>
    </w:p>
    <w:p w:rsidR="003A3815" w:rsidRPr="00E90119" w:rsidRDefault="003A3815" w:rsidP="003A3815">
      <w:pPr>
        <w:tabs>
          <w:tab w:val="left" w:pos="851"/>
        </w:tabs>
        <w:spacing w:after="0" w:line="240" w:lineRule="auto"/>
        <w:ind w:firstLine="567"/>
        <w:jc w:val="center"/>
        <w:rPr>
          <w:rFonts w:ascii="Times New Roman" w:eastAsia="Times New Roman" w:hAnsi="Times New Roman" w:cs="Times New Roman"/>
          <w:b/>
          <w:sz w:val="24"/>
          <w:szCs w:val="24"/>
          <w:lang w:val="en-US" w:eastAsia="ru-RU"/>
        </w:rPr>
      </w:pPr>
    </w:p>
    <w:p w:rsidR="003A3815" w:rsidRPr="00E90119" w:rsidRDefault="003A3815" w:rsidP="003A3815">
      <w:pPr>
        <w:tabs>
          <w:tab w:val="left" w:pos="851"/>
        </w:tabs>
        <w:spacing w:after="0" w:line="240" w:lineRule="auto"/>
        <w:ind w:firstLine="709"/>
        <w:jc w:val="both"/>
        <w:rPr>
          <w:rFonts w:ascii="Times New Roman" w:eastAsia="Times New Roman" w:hAnsi="Times New Roman" w:cs="Times New Roman"/>
          <w:sz w:val="24"/>
          <w:szCs w:val="24"/>
          <w:lang w:val="en-US" w:eastAsia="ru-RU"/>
        </w:rPr>
      </w:pPr>
      <w:proofErr w:type="spellStart"/>
      <w:r w:rsidRPr="003A3815">
        <w:rPr>
          <w:rFonts w:ascii="Times New Roman" w:eastAsia="Times New Roman" w:hAnsi="Times New Roman" w:cs="Times New Roman"/>
          <w:sz w:val="24"/>
          <w:szCs w:val="24"/>
          <w:lang w:val="en-US" w:eastAsia="ru-RU"/>
        </w:rPr>
        <w:t>Kosygina</w:t>
      </w:r>
      <w:proofErr w:type="spellEnd"/>
      <w:r w:rsidRPr="003A3815">
        <w:rPr>
          <w:rFonts w:ascii="Times New Roman" w:eastAsia="Times New Roman" w:hAnsi="Times New Roman" w:cs="Times New Roman"/>
          <w:sz w:val="24"/>
          <w:szCs w:val="24"/>
          <w:lang w:val="en-US" w:eastAsia="ru-RU"/>
        </w:rPr>
        <w:t xml:space="preserve"> </w:t>
      </w:r>
      <w:proofErr w:type="spellStart"/>
      <w:r w:rsidRPr="003A3815">
        <w:rPr>
          <w:rFonts w:ascii="Times New Roman" w:eastAsia="Times New Roman" w:hAnsi="Times New Roman" w:cs="Times New Roman"/>
          <w:sz w:val="24"/>
          <w:szCs w:val="24"/>
          <w:lang w:val="en-US" w:eastAsia="ru-RU"/>
        </w:rPr>
        <w:t>Kseniya</w:t>
      </w:r>
      <w:proofErr w:type="spellEnd"/>
      <w:r w:rsidRPr="003A3815">
        <w:rPr>
          <w:rFonts w:ascii="Times New Roman" w:eastAsia="Times New Roman" w:hAnsi="Times New Roman" w:cs="Times New Roman"/>
          <w:sz w:val="24"/>
          <w:szCs w:val="24"/>
          <w:lang w:val="en-US" w:eastAsia="ru-RU"/>
        </w:rPr>
        <w:t xml:space="preserve"> </w:t>
      </w:r>
      <w:proofErr w:type="spellStart"/>
      <w:r w:rsidRPr="003A3815">
        <w:rPr>
          <w:rFonts w:ascii="Times New Roman" w:eastAsia="Times New Roman" w:hAnsi="Times New Roman" w:cs="Times New Roman"/>
          <w:sz w:val="24"/>
          <w:szCs w:val="24"/>
          <w:lang w:val="en-US" w:eastAsia="ru-RU"/>
        </w:rPr>
        <w:t>Evgen’evna</w:t>
      </w:r>
      <w:proofErr w:type="spellEnd"/>
      <w:r w:rsidRPr="003A3815">
        <w:rPr>
          <w:rFonts w:ascii="Times New Roman" w:eastAsia="Times New Roman" w:hAnsi="Times New Roman" w:cs="Times New Roman"/>
          <w:sz w:val="24"/>
          <w:szCs w:val="24"/>
          <w:lang w:val="en-US" w:eastAsia="ru-RU"/>
        </w:rPr>
        <w:t xml:space="preserve"> – graduate student.  Federal State Budgetary Institution of Science “Vologda Research Center of the Russian Academy of Sciences”. 56A, Gorky Street, Vologda, 160014. Russian Federation. E-mail: sene4ka.87@m</w:t>
      </w:r>
      <w:r>
        <w:rPr>
          <w:rFonts w:ascii="Times New Roman" w:eastAsia="Times New Roman" w:hAnsi="Times New Roman" w:cs="Times New Roman"/>
          <w:sz w:val="24"/>
          <w:szCs w:val="24"/>
          <w:lang w:val="en-US" w:eastAsia="ru-RU"/>
        </w:rPr>
        <w:t>ail.ru. Phone: +7(8172) 52-78-</w:t>
      </w:r>
      <w:r w:rsidRPr="00E90119">
        <w:rPr>
          <w:rFonts w:ascii="Times New Roman" w:eastAsia="Times New Roman" w:hAnsi="Times New Roman" w:cs="Times New Roman"/>
          <w:sz w:val="24"/>
          <w:szCs w:val="24"/>
          <w:lang w:val="en-US" w:eastAsia="ru-RU"/>
        </w:rPr>
        <w:t xml:space="preserve">10 </w:t>
      </w:r>
      <w:r w:rsidRPr="00564E88">
        <w:rPr>
          <w:rFonts w:ascii="Times New Roman" w:eastAsia="Times New Roman" w:hAnsi="Times New Roman" w:cs="Times New Roman"/>
          <w:sz w:val="24"/>
          <w:szCs w:val="24"/>
          <w:lang w:val="en-US" w:eastAsia="ru-RU"/>
        </w:rPr>
        <w:t>(</w:t>
      </w:r>
      <w:proofErr w:type="spellStart"/>
      <w:r>
        <w:rPr>
          <w:rFonts w:ascii="Times New Roman" w:eastAsia="Times New Roman" w:hAnsi="Times New Roman" w:cs="Times New Roman"/>
          <w:sz w:val="24"/>
          <w:szCs w:val="24"/>
          <w:lang w:eastAsia="ru-RU"/>
        </w:rPr>
        <w:t>доб</w:t>
      </w:r>
      <w:proofErr w:type="spellEnd"/>
      <w:r w:rsidRPr="00564E88">
        <w:rPr>
          <w:rFonts w:ascii="Times New Roman" w:eastAsia="Times New Roman" w:hAnsi="Times New Roman" w:cs="Times New Roman"/>
          <w:sz w:val="24"/>
          <w:szCs w:val="24"/>
          <w:lang w:val="en-US" w:eastAsia="ru-RU"/>
        </w:rPr>
        <w:t>. 600).</w:t>
      </w:r>
    </w:p>
    <w:p w:rsidR="003A3815" w:rsidRPr="00E90119" w:rsidRDefault="003A3815" w:rsidP="003A3815">
      <w:pPr>
        <w:tabs>
          <w:tab w:val="left" w:pos="851"/>
        </w:tabs>
        <w:spacing w:after="0" w:line="240" w:lineRule="auto"/>
        <w:jc w:val="both"/>
        <w:rPr>
          <w:rFonts w:ascii="Times New Roman" w:eastAsia="Times New Roman" w:hAnsi="Times New Roman" w:cs="Times New Roman"/>
          <w:sz w:val="24"/>
          <w:szCs w:val="24"/>
          <w:lang w:val="en-US" w:eastAsia="ru-RU"/>
        </w:rPr>
      </w:pPr>
    </w:p>
    <w:p w:rsidR="003A3815" w:rsidRDefault="003A3815" w:rsidP="003A3815">
      <w:pPr>
        <w:tabs>
          <w:tab w:val="left" w:pos="851"/>
        </w:tabs>
        <w:spacing w:after="0" w:line="240" w:lineRule="auto"/>
        <w:ind w:firstLine="567"/>
        <w:jc w:val="center"/>
        <w:rPr>
          <w:rFonts w:ascii="Times New Roman" w:eastAsia="Times New Roman" w:hAnsi="Times New Roman" w:cs="Times New Roman"/>
          <w:b/>
          <w:caps/>
          <w:sz w:val="24"/>
          <w:szCs w:val="24"/>
          <w:lang w:eastAsia="ru-RU"/>
        </w:rPr>
      </w:pPr>
      <w:r w:rsidRPr="003A3815">
        <w:rPr>
          <w:rFonts w:ascii="Times New Roman" w:eastAsia="Times New Roman" w:hAnsi="Times New Roman" w:cs="Times New Roman"/>
          <w:b/>
          <w:caps/>
          <w:sz w:val="24"/>
          <w:szCs w:val="24"/>
          <w:lang w:eastAsia="ru-RU"/>
        </w:rPr>
        <w:t>References</w:t>
      </w:r>
    </w:p>
    <w:p w:rsidR="003A3815" w:rsidRDefault="003A3815" w:rsidP="003A3815">
      <w:pPr>
        <w:tabs>
          <w:tab w:val="left" w:pos="851"/>
        </w:tabs>
        <w:spacing w:after="0" w:line="240" w:lineRule="auto"/>
        <w:ind w:firstLine="567"/>
        <w:jc w:val="center"/>
        <w:rPr>
          <w:rFonts w:ascii="Times New Roman" w:eastAsia="Times New Roman" w:hAnsi="Times New Roman" w:cs="Times New Roman"/>
          <w:b/>
          <w:caps/>
          <w:sz w:val="24"/>
          <w:szCs w:val="24"/>
          <w:lang w:eastAsia="ru-RU"/>
        </w:rPr>
      </w:pPr>
    </w:p>
    <w:p w:rsidR="003A3815" w:rsidRPr="003A3815" w:rsidRDefault="003A3815" w:rsidP="003A3815">
      <w:pPr>
        <w:pStyle w:val="a9"/>
        <w:numPr>
          <w:ilvl w:val="0"/>
          <w:numId w:val="3"/>
        </w:numPr>
        <w:tabs>
          <w:tab w:val="left" w:pos="851"/>
        </w:tabs>
        <w:ind w:left="0" w:firstLine="567"/>
        <w:jc w:val="both"/>
        <w:rPr>
          <w:lang w:val="en-US"/>
        </w:rPr>
      </w:pPr>
      <w:proofErr w:type="spellStart"/>
      <w:r>
        <w:rPr>
          <w:lang w:val="en-US"/>
        </w:rPr>
        <w:t>Kiseleva</w:t>
      </w:r>
      <w:proofErr w:type="spellEnd"/>
      <w:r>
        <w:rPr>
          <w:lang w:val="en-US"/>
        </w:rPr>
        <w:t xml:space="preserve"> A.M., </w:t>
      </w:r>
      <w:proofErr w:type="spellStart"/>
      <w:r>
        <w:rPr>
          <w:lang w:val="en-US"/>
        </w:rPr>
        <w:t>Shpak</w:t>
      </w:r>
      <w:proofErr w:type="spellEnd"/>
      <w:r>
        <w:rPr>
          <w:lang w:val="en-US"/>
        </w:rPr>
        <w:t xml:space="preserve"> E.</w:t>
      </w:r>
      <w:r w:rsidRPr="003A3815">
        <w:rPr>
          <w:lang w:val="en-US"/>
        </w:rPr>
        <w:t>A. Social networks in the process of communication between government and society // Issues of management. Number 6 (18). 2015. p. 66-75.</w:t>
      </w:r>
    </w:p>
    <w:p w:rsidR="003A3815" w:rsidRPr="003A3815" w:rsidRDefault="003A3815" w:rsidP="003A3815">
      <w:pPr>
        <w:pStyle w:val="a9"/>
        <w:numPr>
          <w:ilvl w:val="0"/>
          <w:numId w:val="3"/>
        </w:numPr>
        <w:tabs>
          <w:tab w:val="left" w:pos="851"/>
        </w:tabs>
        <w:ind w:left="0" w:firstLine="567"/>
        <w:jc w:val="both"/>
      </w:pPr>
      <w:proofErr w:type="spellStart"/>
      <w:r w:rsidRPr="003A3815">
        <w:rPr>
          <w:lang w:val="en-US"/>
        </w:rPr>
        <w:t>Rongitsch</w:t>
      </w:r>
      <w:proofErr w:type="spellEnd"/>
      <w:r w:rsidRPr="003A3815">
        <w:rPr>
          <w:lang w:val="en-US"/>
        </w:rPr>
        <w:t xml:space="preserve"> B. Election 2008: More Nonprofits Engaging More Voters //The Nonprofit Quarterly. 2008</w:t>
      </w:r>
    </w:p>
    <w:p w:rsidR="003A3815" w:rsidRPr="003A3815" w:rsidRDefault="003A3815" w:rsidP="003A3815">
      <w:pPr>
        <w:pStyle w:val="a9"/>
        <w:numPr>
          <w:ilvl w:val="0"/>
          <w:numId w:val="3"/>
        </w:numPr>
        <w:tabs>
          <w:tab w:val="left" w:pos="851"/>
        </w:tabs>
        <w:ind w:left="0" w:firstLine="567"/>
        <w:jc w:val="both"/>
      </w:pPr>
      <w:r w:rsidRPr="003A3815">
        <w:rPr>
          <w:lang w:val="en-US"/>
        </w:rPr>
        <w:t>Gerber A., Green D. Get Out the Vote. Washington. US: Brookings Institution Press. 2008. P. 22-36</w:t>
      </w:r>
    </w:p>
    <w:p w:rsidR="003A3815" w:rsidRPr="003A3815" w:rsidRDefault="003A3815" w:rsidP="003A3815">
      <w:pPr>
        <w:pStyle w:val="a9"/>
        <w:numPr>
          <w:ilvl w:val="0"/>
          <w:numId w:val="3"/>
        </w:numPr>
        <w:tabs>
          <w:tab w:val="left" w:pos="851"/>
        </w:tabs>
        <w:ind w:left="0" w:firstLine="567"/>
        <w:jc w:val="both"/>
        <w:rPr>
          <w:lang w:val="en-US"/>
        </w:rPr>
      </w:pPr>
      <w:proofErr w:type="spellStart"/>
      <w:r w:rsidRPr="003A3815">
        <w:rPr>
          <w:color w:val="010101"/>
          <w:shd w:val="clear" w:color="auto" w:fill="FFFFFF"/>
          <w:lang w:val="en-US"/>
        </w:rPr>
        <w:t>LeRoux</w:t>
      </w:r>
      <w:proofErr w:type="spellEnd"/>
      <w:r w:rsidRPr="003A3815">
        <w:rPr>
          <w:color w:val="010101"/>
          <w:shd w:val="clear" w:color="auto" w:fill="FFFFFF"/>
          <w:lang w:val="en-US"/>
        </w:rPr>
        <w:t xml:space="preserve"> K., </w:t>
      </w:r>
      <w:proofErr w:type="spellStart"/>
      <w:r w:rsidRPr="003A3815">
        <w:rPr>
          <w:color w:val="010101"/>
          <w:shd w:val="clear" w:color="auto" w:fill="FFFFFF"/>
          <w:lang w:val="en-US"/>
        </w:rPr>
        <w:t>Krawczyk</w:t>
      </w:r>
      <w:proofErr w:type="spellEnd"/>
      <w:r w:rsidRPr="003A3815">
        <w:rPr>
          <w:color w:val="010101"/>
          <w:shd w:val="clear" w:color="auto" w:fill="FFFFFF"/>
          <w:lang w:val="en-US"/>
        </w:rPr>
        <w:t xml:space="preserve"> K. Can Nonprofit Organizations Increase Voter Turnout? Findings From an Agency-Based Voter Mobilization Experiment. URL: </w:t>
      </w:r>
      <w:hyperlink r:id="rId10" w:history="1">
        <w:r w:rsidRPr="003A3815">
          <w:rPr>
            <w:rStyle w:val="a6"/>
            <w:shd w:val="clear" w:color="auto" w:fill="FFFFFF"/>
            <w:lang w:val="en-US"/>
          </w:rPr>
          <w:t>https://journals.sagepub.com/doi/abs/10.1177/0899764012459909</w:t>
        </w:r>
      </w:hyperlink>
      <w:r w:rsidRPr="003A3815">
        <w:rPr>
          <w:color w:val="010101"/>
          <w:shd w:val="clear" w:color="auto" w:fill="FFFFFF"/>
          <w:lang w:val="en-US"/>
        </w:rPr>
        <w:t xml:space="preserve"> (</w:t>
      </w:r>
      <w:r w:rsidRPr="003A3815">
        <w:rPr>
          <w:color w:val="010101"/>
          <w:shd w:val="clear" w:color="auto" w:fill="FFFFFF"/>
        </w:rPr>
        <w:t>дата</w:t>
      </w:r>
      <w:r w:rsidRPr="003A3815">
        <w:rPr>
          <w:color w:val="010101"/>
          <w:shd w:val="clear" w:color="auto" w:fill="FFFFFF"/>
          <w:lang w:val="en-US"/>
        </w:rPr>
        <w:t xml:space="preserve"> </w:t>
      </w:r>
      <w:r w:rsidRPr="003A3815">
        <w:rPr>
          <w:color w:val="010101"/>
          <w:shd w:val="clear" w:color="auto" w:fill="FFFFFF"/>
        </w:rPr>
        <w:t>обращения</w:t>
      </w:r>
      <w:r w:rsidRPr="003A3815">
        <w:rPr>
          <w:color w:val="010101"/>
          <w:shd w:val="clear" w:color="auto" w:fill="FFFFFF"/>
          <w:lang w:val="en-US"/>
        </w:rPr>
        <w:t xml:space="preserve">  11.12.2018)</w:t>
      </w:r>
    </w:p>
    <w:p w:rsidR="003A3815" w:rsidRPr="003A3815" w:rsidRDefault="003A3815" w:rsidP="003A3815">
      <w:pPr>
        <w:tabs>
          <w:tab w:val="left" w:pos="851"/>
        </w:tabs>
        <w:spacing w:after="0" w:line="240" w:lineRule="auto"/>
        <w:ind w:firstLine="567"/>
        <w:jc w:val="center"/>
        <w:rPr>
          <w:rFonts w:ascii="Times New Roman" w:eastAsia="Times New Roman" w:hAnsi="Times New Roman" w:cs="Times New Roman"/>
          <w:b/>
          <w:caps/>
          <w:sz w:val="24"/>
          <w:szCs w:val="24"/>
          <w:lang w:val="en-US" w:eastAsia="ru-RU"/>
        </w:rPr>
      </w:pPr>
    </w:p>
    <w:p w:rsidR="003A3815" w:rsidRPr="003A3815" w:rsidRDefault="003A3815" w:rsidP="003A3815">
      <w:pPr>
        <w:tabs>
          <w:tab w:val="left" w:pos="851"/>
        </w:tabs>
        <w:spacing w:after="0" w:line="240" w:lineRule="auto"/>
        <w:ind w:firstLine="567"/>
        <w:jc w:val="center"/>
        <w:rPr>
          <w:rFonts w:ascii="Times New Roman" w:eastAsia="Times New Roman" w:hAnsi="Times New Roman" w:cs="Times New Roman"/>
          <w:b/>
          <w:caps/>
          <w:sz w:val="24"/>
          <w:szCs w:val="24"/>
          <w:lang w:val="en-US" w:eastAsia="ru-RU"/>
        </w:rPr>
      </w:pPr>
    </w:p>
    <w:p w:rsidR="003A3815" w:rsidRPr="00564E88" w:rsidRDefault="003A3815" w:rsidP="006B47FA">
      <w:pPr>
        <w:tabs>
          <w:tab w:val="left" w:pos="851"/>
        </w:tabs>
        <w:spacing w:after="0" w:line="240" w:lineRule="auto"/>
        <w:ind w:firstLine="567"/>
        <w:jc w:val="both"/>
        <w:rPr>
          <w:rFonts w:ascii="Times New Roman" w:eastAsia="Times New Roman" w:hAnsi="Times New Roman" w:cs="Times New Roman"/>
          <w:sz w:val="24"/>
          <w:szCs w:val="24"/>
          <w:lang w:val="en-US" w:eastAsia="ru-RU"/>
        </w:rPr>
      </w:pPr>
    </w:p>
    <w:p w:rsidR="00220777" w:rsidRPr="00564E88" w:rsidRDefault="00220777" w:rsidP="006B47FA">
      <w:pPr>
        <w:spacing w:after="0" w:line="240" w:lineRule="auto"/>
        <w:ind w:firstLine="567"/>
        <w:jc w:val="both"/>
        <w:rPr>
          <w:sz w:val="24"/>
          <w:szCs w:val="24"/>
          <w:lang w:val="en-US"/>
        </w:rPr>
      </w:pPr>
    </w:p>
    <w:sectPr w:rsidR="00220777" w:rsidRPr="00564E88" w:rsidSect="0022077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0777" w:rsidRDefault="00220777" w:rsidP="00220777">
      <w:pPr>
        <w:spacing w:after="0" w:line="240" w:lineRule="auto"/>
      </w:pPr>
      <w:r>
        <w:separator/>
      </w:r>
    </w:p>
  </w:endnote>
  <w:endnote w:type="continuationSeparator" w:id="0">
    <w:p w:rsidR="00220777" w:rsidRDefault="00220777" w:rsidP="00220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altName w:val="Tahoma"/>
    <w:panose1 w:val="020B0604030504040204"/>
    <w:charset w:val="CC"/>
    <w:family w:val="swiss"/>
    <w:pitch w:val="variable"/>
    <w:sig w:usb0="E1002EFF" w:usb1="C000605B" w:usb2="00000029" w:usb3="00000000" w:csb0="000101FF" w:csb1="00000000"/>
  </w:font>
  <w:font w:name="Times New Roman Полужирный">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0777" w:rsidRDefault="00220777" w:rsidP="00220777">
      <w:pPr>
        <w:spacing w:after="0" w:line="240" w:lineRule="auto"/>
      </w:pPr>
      <w:r>
        <w:separator/>
      </w:r>
    </w:p>
  </w:footnote>
  <w:footnote w:type="continuationSeparator" w:id="0">
    <w:p w:rsidR="00220777" w:rsidRDefault="00220777" w:rsidP="00220777">
      <w:pPr>
        <w:spacing w:after="0" w:line="240" w:lineRule="auto"/>
      </w:pPr>
      <w:r>
        <w:continuationSeparator/>
      </w:r>
    </w:p>
  </w:footnote>
  <w:footnote w:id="1">
    <w:p w:rsidR="00220777" w:rsidRPr="00882D9C" w:rsidRDefault="00220777" w:rsidP="00220777">
      <w:pPr>
        <w:pStyle w:val="a3"/>
        <w:rPr>
          <w:lang w:val="en-US"/>
        </w:rPr>
      </w:pPr>
      <w:r>
        <w:rPr>
          <w:rStyle w:val="a5"/>
        </w:rPr>
        <w:footnoteRef/>
      </w:r>
      <w:r w:rsidRPr="000C421A">
        <w:rPr>
          <w:lang w:val="en-US"/>
        </w:rPr>
        <w:t xml:space="preserve"> </w:t>
      </w:r>
      <w:r w:rsidRPr="000C421A">
        <w:rPr>
          <w:rFonts w:ascii="Times New Roman" w:hAnsi="Times New Roman"/>
          <w:lang w:val="en-US"/>
        </w:rPr>
        <w:t>U.S. Tax Code. URL: https://www.fourmilab.ch/uscode/26usc/</w:t>
      </w:r>
    </w:p>
  </w:footnote>
  <w:footnote w:id="2">
    <w:p w:rsidR="00220777" w:rsidRDefault="00220777" w:rsidP="00220777">
      <w:pPr>
        <w:pStyle w:val="a3"/>
        <w:jc w:val="both"/>
      </w:pPr>
      <w:r w:rsidRPr="008005CB">
        <w:rPr>
          <w:rFonts w:ascii="Times New Roman" w:hAnsi="Times New Roman"/>
        </w:rPr>
        <w:footnoteRef/>
      </w:r>
      <w:r w:rsidRPr="00ED3917">
        <w:rPr>
          <w:rFonts w:ascii="Times New Roman" w:hAnsi="Times New Roman"/>
        </w:rPr>
        <w:t xml:space="preserve"> </w:t>
      </w:r>
      <w:r w:rsidRPr="003C4FB2">
        <w:rPr>
          <w:rFonts w:ascii="Times New Roman" w:hAnsi="Times New Roman"/>
        </w:rPr>
        <w:t>О мерах воздействия на лиц, причастных к нарушениям основополагающих прав и свобод человека, прав и свобод граждан Российской Федерации: федеральный закон от 28.12.2012 N 272-ФЗ URL: http://www.consultant.ru/document/cons_doc_LAW_139994/</w:t>
      </w:r>
    </w:p>
  </w:footnote>
  <w:footnote w:id="3">
    <w:p w:rsidR="00220777" w:rsidRDefault="00220777" w:rsidP="00220777">
      <w:pPr>
        <w:pStyle w:val="a3"/>
        <w:jc w:val="both"/>
      </w:pPr>
      <w:r>
        <w:rPr>
          <w:rStyle w:val="a5"/>
        </w:rPr>
        <w:footnoteRef/>
      </w:r>
      <w:r w:rsidRPr="00E146EB">
        <w:t xml:space="preserve"> </w:t>
      </w:r>
      <w:r>
        <w:rPr>
          <w:rFonts w:ascii="Times New Roman" w:hAnsi="Times New Roman"/>
        </w:rPr>
        <w:t>Фонд</w:t>
      </w:r>
      <w:r w:rsidRPr="00E146EB">
        <w:rPr>
          <w:rFonts w:ascii="Times New Roman" w:hAnsi="Times New Roman"/>
        </w:rPr>
        <w:t xml:space="preserve"> </w:t>
      </w:r>
      <w:r w:rsidRPr="00EE7E01">
        <w:rPr>
          <w:rFonts w:ascii="Times New Roman" w:hAnsi="Times New Roman"/>
        </w:rPr>
        <w:t>президентских</w:t>
      </w:r>
      <w:r w:rsidRPr="00E146EB">
        <w:rPr>
          <w:rFonts w:ascii="Times New Roman" w:hAnsi="Times New Roman"/>
        </w:rPr>
        <w:t xml:space="preserve"> </w:t>
      </w:r>
      <w:r w:rsidRPr="00EE7E01">
        <w:rPr>
          <w:rFonts w:ascii="Times New Roman" w:hAnsi="Times New Roman"/>
        </w:rPr>
        <w:t>грантов</w:t>
      </w:r>
      <w:r w:rsidRPr="00E146EB">
        <w:rPr>
          <w:rFonts w:ascii="Times New Roman" w:hAnsi="Times New Roman"/>
        </w:rPr>
        <w:t xml:space="preserve"> </w:t>
      </w:r>
      <w:r w:rsidRPr="00EE7E01">
        <w:rPr>
          <w:rFonts w:ascii="Times New Roman" w:hAnsi="Times New Roman"/>
        </w:rPr>
        <w:t>проводит</w:t>
      </w:r>
      <w:r w:rsidRPr="00E146EB">
        <w:rPr>
          <w:rFonts w:ascii="Times New Roman" w:hAnsi="Times New Roman"/>
        </w:rPr>
        <w:t xml:space="preserve"> </w:t>
      </w:r>
      <w:r w:rsidRPr="00EE7E01">
        <w:rPr>
          <w:rFonts w:ascii="Times New Roman" w:hAnsi="Times New Roman"/>
        </w:rPr>
        <w:t>конкурсы</w:t>
      </w:r>
      <w:r w:rsidRPr="00E146EB">
        <w:rPr>
          <w:rFonts w:ascii="Times New Roman" w:hAnsi="Times New Roman"/>
        </w:rPr>
        <w:t xml:space="preserve"> </w:t>
      </w:r>
      <w:r w:rsidRPr="00EE7E01">
        <w:rPr>
          <w:rFonts w:ascii="Times New Roman" w:hAnsi="Times New Roman"/>
        </w:rPr>
        <w:t>среди</w:t>
      </w:r>
      <w:r w:rsidRPr="00E146EB">
        <w:rPr>
          <w:rFonts w:ascii="Times New Roman" w:hAnsi="Times New Roman"/>
        </w:rPr>
        <w:t xml:space="preserve"> </w:t>
      </w:r>
      <w:r w:rsidRPr="00EE7E01">
        <w:rPr>
          <w:rFonts w:ascii="Times New Roman" w:hAnsi="Times New Roman"/>
        </w:rPr>
        <w:t>некоммерческих</w:t>
      </w:r>
      <w:r w:rsidRPr="00E146EB">
        <w:rPr>
          <w:rFonts w:ascii="Times New Roman" w:hAnsi="Times New Roman"/>
        </w:rPr>
        <w:t xml:space="preserve"> </w:t>
      </w:r>
      <w:r w:rsidRPr="00EE7E01">
        <w:rPr>
          <w:rFonts w:ascii="Times New Roman" w:hAnsi="Times New Roman"/>
        </w:rPr>
        <w:t>организаций</w:t>
      </w:r>
      <w:r w:rsidRPr="00E146EB">
        <w:rPr>
          <w:rFonts w:ascii="Times New Roman" w:hAnsi="Times New Roman"/>
        </w:rPr>
        <w:t xml:space="preserve">. </w:t>
      </w:r>
      <w:r>
        <w:rPr>
          <w:rFonts w:ascii="Times New Roman" w:hAnsi="Times New Roman"/>
        </w:rPr>
        <w:t>П</w:t>
      </w:r>
      <w:r w:rsidRPr="00EE7E01">
        <w:rPr>
          <w:rFonts w:ascii="Times New Roman" w:hAnsi="Times New Roman"/>
        </w:rPr>
        <w:t>о</w:t>
      </w:r>
      <w:r w:rsidRPr="00E146EB">
        <w:rPr>
          <w:rFonts w:ascii="Times New Roman" w:hAnsi="Times New Roman"/>
        </w:rPr>
        <w:t xml:space="preserve"> </w:t>
      </w:r>
      <w:r w:rsidRPr="00EE7E01">
        <w:rPr>
          <w:rFonts w:ascii="Times New Roman" w:hAnsi="Times New Roman"/>
          <w:color w:val="010101"/>
          <w:shd w:val="clear" w:color="auto" w:fill="FFFFFF"/>
        </w:rPr>
        <w:t>итогам</w:t>
      </w:r>
      <w:r w:rsidRPr="00E146EB">
        <w:rPr>
          <w:rFonts w:ascii="Times New Roman" w:hAnsi="Times New Roman"/>
          <w:color w:val="010101"/>
          <w:shd w:val="clear" w:color="auto" w:fill="FFFFFF"/>
        </w:rPr>
        <w:t xml:space="preserve"> </w:t>
      </w:r>
      <w:r w:rsidRPr="00EE7E01">
        <w:rPr>
          <w:rFonts w:ascii="Times New Roman" w:hAnsi="Times New Roman"/>
          <w:color w:val="010101"/>
          <w:shd w:val="clear" w:color="auto" w:fill="FFFFFF"/>
        </w:rPr>
        <w:t>четырех</w:t>
      </w:r>
      <w:r w:rsidRPr="00E146EB">
        <w:rPr>
          <w:rFonts w:ascii="Times New Roman" w:hAnsi="Times New Roman"/>
          <w:color w:val="010101"/>
          <w:shd w:val="clear" w:color="auto" w:fill="FFFFFF"/>
        </w:rPr>
        <w:t xml:space="preserve"> </w:t>
      </w:r>
      <w:r w:rsidRPr="00EE7E01">
        <w:rPr>
          <w:rFonts w:ascii="Times New Roman" w:hAnsi="Times New Roman"/>
          <w:color w:val="010101"/>
          <w:shd w:val="clear" w:color="auto" w:fill="FFFFFF"/>
        </w:rPr>
        <w:t>конкурсов</w:t>
      </w:r>
      <w:r w:rsidRPr="00E146EB">
        <w:rPr>
          <w:rFonts w:ascii="Times New Roman" w:hAnsi="Times New Roman"/>
          <w:color w:val="010101"/>
          <w:shd w:val="clear" w:color="auto" w:fill="FFFFFF"/>
        </w:rPr>
        <w:t xml:space="preserve"> 2017-2018</w:t>
      </w:r>
      <w:r w:rsidRPr="00ED3917">
        <w:rPr>
          <w:rFonts w:ascii="Times New Roman" w:hAnsi="Times New Roman"/>
          <w:color w:val="010101"/>
          <w:shd w:val="clear" w:color="auto" w:fill="FFFFFF"/>
        </w:rPr>
        <w:t> </w:t>
      </w:r>
      <w:r w:rsidRPr="00EE7E01">
        <w:rPr>
          <w:rFonts w:ascii="Times New Roman" w:hAnsi="Times New Roman"/>
          <w:color w:val="010101"/>
          <w:shd w:val="clear" w:color="auto" w:fill="FFFFFF"/>
        </w:rPr>
        <w:t>гг</w:t>
      </w:r>
      <w:r w:rsidRPr="00E146EB">
        <w:rPr>
          <w:rFonts w:ascii="Times New Roman" w:hAnsi="Times New Roman"/>
          <w:color w:val="010101"/>
          <w:shd w:val="clear" w:color="auto" w:fill="FFFFFF"/>
        </w:rPr>
        <w:t xml:space="preserve">. </w:t>
      </w:r>
      <w:r w:rsidRPr="00EE7E01">
        <w:rPr>
          <w:rFonts w:ascii="Times New Roman" w:hAnsi="Times New Roman"/>
          <w:color w:val="010101"/>
          <w:shd w:val="clear" w:color="auto" w:fill="FFFFFF"/>
        </w:rPr>
        <w:t>поддержано 6 786 проектов на общую сумму более 14 млрд рублей, в том числе по итогам двух конкурсов 2018 года 3 573 проекта из всех регионов страны получат 7,8 млрд рублей</w:t>
      </w:r>
      <w:r>
        <w:rPr>
          <w:rFonts w:ascii="Times New Roman" w:hAnsi="Times New Roman"/>
          <w:color w:val="010101"/>
          <w:shd w:val="clear" w:color="auto" w:fill="FFFFFF"/>
        </w:rPr>
        <w:t>.</w:t>
      </w:r>
    </w:p>
  </w:footnote>
  <w:footnote w:id="4">
    <w:p w:rsidR="00220777" w:rsidRDefault="00220777" w:rsidP="00220777">
      <w:pPr>
        <w:pStyle w:val="a3"/>
      </w:pPr>
      <w:r>
        <w:rPr>
          <w:rStyle w:val="a5"/>
        </w:rPr>
        <w:footnoteRef/>
      </w:r>
      <w:r>
        <w:t xml:space="preserve"> </w:t>
      </w:r>
      <w:r w:rsidRPr="00EE7E01">
        <w:rPr>
          <w:rFonts w:ascii="Times New Roman" w:hAnsi="Times New Roman"/>
        </w:rPr>
        <w:t>Данные предоставлены Общественной палатой Вологодской области</w:t>
      </w:r>
    </w:p>
  </w:footnote>
  <w:footnote w:id="5">
    <w:p w:rsidR="00220777" w:rsidRPr="00882D9C" w:rsidRDefault="00220777" w:rsidP="00220777">
      <w:pPr>
        <w:pStyle w:val="a3"/>
        <w:tabs>
          <w:tab w:val="left" w:pos="142"/>
        </w:tabs>
        <w:jc w:val="both"/>
        <w:rPr>
          <w:lang w:val="en-US"/>
        </w:rPr>
      </w:pPr>
      <w:r>
        <w:rPr>
          <w:rStyle w:val="a5"/>
        </w:rPr>
        <w:footnoteRef/>
      </w:r>
      <w:r>
        <w:t xml:space="preserve"> </w:t>
      </w:r>
      <w:r w:rsidRPr="0051631D">
        <w:rPr>
          <w:rFonts w:ascii="Times New Roman" w:hAnsi="Times New Roman"/>
        </w:rPr>
        <w:t>Напомнить каждому. Активисты НКО провели акции в поддержку выборов</w:t>
      </w:r>
      <w:r>
        <w:rPr>
          <w:rFonts w:ascii="Times New Roman" w:hAnsi="Times New Roman"/>
        </w:rPr>
        <w:t xml:space="preserve">. </w:t>
      </w:r>
      <w:r w:rsidRPr="000C421A">
        <w:rPr>
          <w:rFonts w:ascii="Times New Roman" w:hAnsi="Times New Roman"/>
          <w:color w:val="010101"/>
          <w:shd w:val="clear" w:color="auto" w:fill="FFFFFF"/>
          <w:lang w:val="en-US"/>
        </w:rPr>
        <w:t>URL: http://www.aif.ru/politics/russia/napomnit_kazhdomu_aktivisty_nko_proveli_akcii_v_podderzhku_vyborov</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9D643A"/>
    <w:multiLevelType w:val="hybridMultilevel"/>
    <w:tmpl w:val="FFEA5C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6DC6133"/>
    <w:multiLevelType w:val="hybridMultilevel"/>
    <w:tmpl w:val="21BA4700"/>
    <w:lvl w:ilvl="0" w:tplc="EA2C2306">
      <w:start w:val="1"/>
      <w:numFmt w:val="decimal"/>
      <w:lvlText w:val="%1."/>
      <w:lvlJc w:val="left"/>
      <w:pPr>
        <w:ind w:left="1587" w:hanging="102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
    <w:nsid w:val="7BC635FC"/>
    <w:multiLevelType w:val="hybridMultilevel"/>
    <w:tmpl w:val="7C2E77F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0777"/>
    <w:rsid w:val="00220777"/>
    <w:rsid w:val="003A3815"/>
    <w:rsid w:val="004462D3"/>
    <w:rsid w:val="00564E88"/>
    <w:rsid w:val="006B47FA"/>
    <w:rsid w:val="0072074E"/>
    <w:rsid w:val="008E6396"/>
    <w:rsid w:val="00B15467"/>
    <w:rsid w:val="00BD41E1"/>
    <w:rsid w:val="00DC4858"/>
    <w:rsid w:val="00E901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220777"/>
    <w:pPr>
      <w:spacing w:after="0" w:line="240" w:lineRule="auto"/>
    </w:pPr>
    <w:rPr>
      <w:sz w:val="20"/>
      <w:szCs w:val="20"/>
    </w:rPr>
  </w:style>
  <w:style w:type="character" w:customStyle="1" w:styleId="a4">
    <w:name w:val="Текст сноски Знак"/>
    <w:basedOn w:val="a0"/>
    <w:link w:val="a3"/>
    <w:uiPriority w:val="99"/>
    <w:semiHidden/>
    <w:rsid w:val="00220777"/>
    <w:rPr>
      <w:sz w:val="20"/>
      <w:szCs w:val="20"/>
    </w:rPr>
  </w:style>
  <w:style w:type="character" w:styleId="a5">
    <w:name w:val="footnote reference"/>
    <w:aliases w:val="Знак сноски-FN,Ciae niinee-FN,Знак сноски 1,Referencia nota al pie,SUPERS"/>
    <w:basedOn w:val="a0"/>
    <w:uiPriority w:val="99"/>
    <w:semiHidden/>
    <w:rsid w:val="00220777"/>
    <w:rPr>
      <w:rFonts w:cs="Times New Roman"/>
      <w:vertAlign w:val="superscript"/>
    </w:rPr>
  </w:style>
  <w:style w:type="character" w:styleId="a6">
    <w:name w:val="Hyperlink"/>
    <w:basedOn w:val="a0"/>
    <w:uiPriority w:val="99"/>
    <w:rsid w:val="00220777"/>
    <w:rPr>
      <w:rFonts w:cs="Times New Roman"/>
      <w:color w:val="0000FF"/>
      <w:u w:val="single"/>
    </w:rPr>
  </w:style>
  <w:style w:type="paragraph" w:styleId="a7">
    <w:name w:val="Balloon Text"/>
    <w:basedOn w:val="a"/>
    <w:link w:val="a8"/>
    <w:uiPriority w:val="99"/>
    <w:semiHidden/>
    <w:unhideWhenUsed/>
    <w:rsid w:val="00220777"/>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20777"/>
    <w:rPr>
      <w:rFonts w:ascii="Tahoma" w:hAnsi="Tahoma" w:cs="Tahoma"/>
      <w:sz w:val="16"/>
      <w:szCs w:val="16"/>
    </w:rPr>
  </w:style>
  <w:style w:type="paragraph" w:styleId="a9">
    <w:name w:val="List Paragraph"/>
    <w:basedOn w:val="a"/>
    <w:uiPriority w:val="34"/>
    <w:qFormat/>
    <w:rsid w:val="00564E88"/>
    <w:pPr>
      <w:spacing w:after="0" w:line="240" w:lineRule="auto"/>
      <w:ind w:left="720"/>
      <w:contextualSpacing/>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220777"/>
    <w:pPr>
      <w:spacing w:after="0" w:line="240" w:lineRule="auto"/>
    </w:pPr>
    <w:rPr>
      <w:sz w:val="20"/>
      <w:szCs w:val="20"/>
    </w:rPr>
  </w:style>
  <w:style w:type="character" w:customStyle="1" w:styleId="a4">
    <w:name w:val="Текст сноски Знак"/>
    <w:basedOn w:val="a0"/>
    <w:link w:val="a3"/>
    <w:uiPriority w:val="99"/>
    <w:semiHidden/>
    <w:rsid w:val="00220777"/>
    <w:rPr>
      <w:sz w:val="20"/>
      <w:szCs w:val="20"/>
    </w:rPr>
  </w:style>
  <w:style w:type="character" w:styleId="a5">
    <w:name w:val="footnote reference"/>
    <w:aliases w:val="Знак сноски-FN,Ciae niinee-FN,Знак сноски 1,Referencia nota al pie,SUPERS"/>
    <w:basedOn w:val="a0"/>
    <w:uiPriority w:val="99"/>
    <w:semiHidden/>
    <w:rsid w:val="00220777"/>
    <w:rPr>
      <w:rFonts w:cs="Times New Roman"/>
      <w:vertAlign w:val="superscript"/>
    </w:rPr>
  </w:style>
  <w:style w:type="character" w:styleId="a6">
    <w:name w:val="Hyperlink"/>
    <w:basedOn w:val="a0"/>
    <w:uiPriority w:val="99"/>
    <w:rsid w:val="00220777"/>
    <w:rPr>
      <w:rFonts w:cs="Times New Roman"/>
      <w:color w:val="0000FF"/>
      <w:u w:val="single"/>
    </w:rPr>
  </w:style>
  <w:style w:type="paragraph" w:styleId="a7">
    <w:name w:val="Balloon Text"/>
    <w:basedOn w:val="a"/>
    <w:link w:val="a8"/>
    <w:uiPriority w:val="99"/>
    <w:semiHidden/>
    <w:unhideWhenUsed/>
    <w:rsid w:val="00220777"/>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20777"/>
    <w:rPr>
      <w:rFonts w:ascii="Tahoma" w:hAnsi="Tahoma" w:cs="Tahoma"/>
      <w:sz w:val="16"/>
      <w:szCs w:val="16"/>
    </w:rPr>
  </w:style>
  <w:style w:type="paragraph" w:styleId="a9">
    <w:name w:val="List Paragraph"/>
    <w:basedOn w:val="a"/>
    <w:uiPriority w:val="34"/>
    <w:qFormat/>
    <w:rsid w:val="00564E88"/>
    <w:pPr>
      <w:spacing w:after="0" w:line="240" w:lineRule="auto"/>
      <w:ind w:left="720"/>
      <w:contextualSpacing/>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journals.sagepub.com/doi/abs/10.1177/0899764012459909" TargetMode="External"/><Relationship Id="rId4" Type="http://schemas.openxmlformats.org/officeDocument/2006/relationships/settings" Target="settings.xml"/><Relationship Id="rId9" Type="http://schemas.openxmlformats.org/officeDocument/2006/relationships/hyperlink" Target="https://journals.sagepub.com/doi/abs/10.1177/0899764012459909"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5.7291666666666664E-2"/>
          <c:y val="0.1024390243902439"/>
          <c:w val="0.89236111111111116"/>
          <c:h val="0.51707317073170733"/>
        </c:manualLayout>
      </c:layout>
      <c:lineChart>
        <c:grouping val="standard"/>
        <c:varyColors val="0"/>
        <c:ser>
          <c:idx val="0"/>
          <c:order val="0"/>
          <c:tx>
            <c:strRef>
              <c:f>Лист3!$D$12</c:f>
              <c:strCache>
                <c:ptCount val="1"/>
                <c:pt idx="0">
                  <c:v>Являюсь членом организации;   Принимаю участие как доброволец, волонтер </c:v>
                </c:pt>
              </c:strCache>
            </c:strRef>
          </c:tx>
          <c:spPr>
            <a:ln w="12581">
              <a:solidFill>
                <a:srgbClr val="000080"/>
              </a:solidFill>
              <a:prstDash val="solid"/>
            </a:ln>
          </c:spPr>
          <c:marker>
            <c:symbol val="diamond"/>
            <c:size val="4"/>
            <c:spPr>
              <a:solidFill>
                <a:srgbClr val="000080"/>
              </a:solidFill>
              <a:ln>
                <a:solidFill>
                  <a:srgbClr val="000080"/>
                </a:solidFill>
                <a:prstDash val="solid"/>
              </a:ln>
            </c:spPr>
          </c:marker>
          <c:dLbls>
            <c:dLbl>
              <c:idx val="0"/>
              <c:layout>
                <c:manualLayout>
                  <c:x val="-7.8850087041930639E-3"/>
                  <c:y val="2.3739067999529927E-2"/>
                </c:manualLayout>
              </c:layout>
              <c:dLblPos val="r"/>
              <c:showLegendKey val="0"/>
              <c:showVal val="1"/>
              <c:showCatName val="0"/>
              <c:showSerName val="0"/>
              <c:showPercent val="0"/>
              <c:showBubbleSize val="0"/>
            </c:dLbl>
            <c:dLbl>
              <c:idx val="1"/>
              <c:layout>
                <c:manualLayout>
                  <c:x val="-2.4667441883861604E-2"/>
                  <c:y val="1.9507206051321887E-2"/>
                </c:manualLayout>
              </c:layout>
              <c:dLblPos val="r"/>
              <c:showLegendKey val="0"/>
              <c:showVal val="1"/>
              <c:showCatName val="0"/>
              <c:showSerName val="0"/>
              <c:showPercent val="0"/>
              <c:showBubbleSize val="0"/>
            </c:dLbl>
            <c:dLbl>
              <c:idx val="2"/>
              <c:layout>
                <c:manualLayout>
                  <c:x val="-2.7560986174641287E-2"/>
                  <c:y val="-5.1602318174673388E-2"/>
                </c:manualLayout>
              </c:layout>
              <c:dLblPos val="r"/>
              <c:showLegendKey val="0"/>
              <c:showVal val="1"/>
              <c:showCatName val="0"/>
              <c:showSerName val="0"/>
              <c:showPercent val="0"/>
              <c:showBubbleSize val="0"/>
            </c:dLbl>
            <c:dLbl>
              <c:idx val="3"/>
              <c:layout>
                <c:manualLayout>
                  <c:x val="-2.3510086020976498E-2"/>
                  <c:y val="-4.8236522822142913E-2"/>
                </c:manualLayout>
              </c:layout>
              <c:dLblPos val="r"/>
              <c:showLegendKey val="0"/>
              <c:showVal val="1"/>
              <c:showCatName val="0"/>
              <c:showSerName val="0"/>
              <c:showPercent val="0"/>
              <c:showBubbleSize val="0"/>
            </c:dLbl>
            <c:dLbl>
              <c:idx val="4"/>
              <c:layout>
                <c:manualLayout>
                  <c:x val="-2.2931229236251731E-2"/>
                  <c:y val="-4.5236696838522134E-2"/>
                </c:manualLayout>
              </c:layout>
              <c:dLblPos val="r"/>
              <c:showLegendKey val="0"/>
              <c:showVal val="1"/>
              <c:showCatName val="0"/>
              <c:showSerName val="0"/>
              <c:showPercent val="0"/>
              <c:showBubbleSize val="0"/>
            </c:dLbl>
            <c:dLbl>
              <c:idx val="5"/>
              <c:layout>
                <c:manualLayout>
                  <c:x val="-3.4505329082586945E-2"/>
                  <c:y val="-4.1370804259223709E-2"/>
                </c:manualLayout>
              </c:layout>
              <c:dLblPos val="r"/>
              <c:showLegendKey val="0"/>
              <c:showVal val="1"/>
              <c:showCatName val="0"/>
              <c:showSerName val="0"/>
              <c:showPercent val="0"/>
              <c:showBubbleSize val="0"/>
            </c:dLbl>
            <c:dLbl>
              <c:idx val="6"/>
              <c:layout>
                <c:manualLayout>
                  <c:x val="-1.2075733000368053E-2"/>
                  <c:y val="-3.9858550831266312E-2"/>
                </c:manualLayout>
              </c:layout>
              <c:dLblPos val="r"/>
              <c:showLegendKey val="0"/>
              <c:showVal val="1"/>
              <c:showCatName val="0"/>
              <c:showSerName val="0"/>
              <c:showPercent val="0"/>
              <c:showBubbleSize val="0"/>
            </c:dLbl>
            <c:spPr>
              <a:noFill/>
              <a:ln w="25163">
                <a:noFill/>
              </a:ln>
            </c:spPr>
            <c:txPr>
              <a:bodyPr/>
              <a:lstStyle/>
              <a:p>
                <a:pPr>
                  <a:defRPr sz="793"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Лист3!$E$11:$K$11</c:f>
              <c:strCache>
                <c:ptCount val="7"/>
                <c:pt idx="0">
                  <c:v>2011</c:v>
                </c:pt>
                <c:pt idx="1">
                  <c:v>2013</c:v>
                </c:pt>
                <c:pt idx="2">
                  <c:v>2014</c:v>
                </c:pt>
                <c:pt idx="3">
                  <c:v>2015</c:v>
                </c:pt>
                <c:pt idx="4">
                  <c:v>2016</c:v>
                </c:pt>
                <c:pt idx="5">
                  <c:v>2017</c:v>
                </c:pt>
                <c:pt idx="6">
                  <c:v>2018 г. </c:v>
                </c:pt>
              </c:strCache>
            </c:strRef>
          </c:cat>
          <c:val>
            <c:numRef>
              <c:f>Лист3!$E$12:$K$12</c:f>
              <c:numCache>
                <c:formatCode>General</c:formatCode>
                <c:ptCount val="7"/>
                <c:pt idx="0">
                  <c:v>61.2</c:v>
                </c:pt>
                <c:pt idx="1">
                  <c:v>61.3</c:v>
                </c:pt>
                <c:pt idx="2">
                  <c:v>58.6</c:v>
                </c:pt>
                <c:pt idx="3">
                  <c:v>47.8</c:v>
                </c:pt>
                <c:pt idx="4">
                  <c:v>46</c:v>
                </c:pt>
                <c:pt idx="5">
                  <c:v>54.9</c:v>
                </c:pt>
                <c:pt idx="6">
                  <c:v>65.7</c:v>
                </c:pt>
              </c:numCache>
            </c:numRef>
          </c:val>
          <c:smooth val="0"/>
        </c:ser>
        <c:ser>
          <c:idx val="1"/>
          <c:order val="1"/>
          <c:tx>
            <c:strRef>
              <c:f>Лист3!$D$13</c:f>
              <c:strCache>
                <c:ptCount val="1"/>
                <c:pt idx="0">
                  <c:v>Не участвую и не состою</c:v>
                </c:pt>
              </c:strCache>
            </c:strRef>
          </c:tx>
          <c:spPr>
            <a:ln w="12581">
              <a:solidFill>
                <a:srgbClr val="FF00FF"/>
              </a:solidFill>
              <a:prstDash val="solid"/>
            </a:ln>
          </c:spPr>
          <c:marker>
            <c:symbol val="square"/>
            <c:size val="4"/>
            <c:spPr>
              <a:solidFill>
                <a:srgbClr val="FF00FF"/>
              </a:solidFill>
              <a:ln>
                <a:solidFill>
                  <a:srgbClr val="FF00FF"/>
                </a:solidFill>
                <a:prstDash val="solid"/>
              </a:ln>
            </c:spPr>
          </c:marker>
          <c:dLbls>
            <c:dLbl>
              <c:idx val="0"/>
              <c:layout>
                <c:manualLayout>
                  <c:x val="-9.6211198153041827E-3"/>
                  <c:y val="-4.4919584296208931E-2"/>
                </c:manualLayout>
              </c:layout>
              <c:dLblPos val="r"/>
              <c:showLegendKey val="0"/>
              <c:showVal val="1"/>
              <c:showCatName val="0"/>
              <c:showSerName val="0"/>
              <c:showPercent val="0"/>
              <c:showBubbleSize val="0"/>
            </c:dLbl>
            <c:dLbl>
              <c:idx val="1"/>
              <c:layout>
                <c:manualLayout>
                  <c:x val="-1.5986886328306051E-2"/>
                  <c:y val="-5.6431750565703508E-2"/>
                </c:manualLayout>
              </c:layout>
              <c:dLblPos val="r"/>
              <c:showLegendKey val="0"/>
              <c:showVal val="1"/>
              <c:showCatName val="0"/>
              <c:showSerName val="0"/>
              <c:showPercent val="0"/>
              <c:showBubbleSize val="0"/>
            </c:dLbl>
            <c:dLbl>
              <c:idx val="2"/>
              <c:layout>
                <c:manualLayout>
                  <c:x val="-2.4088763952419077E-2"/>
                  <c:y val="2.9824471872311024E-2"/>
                </c:manualLayout>
              </c:layout>
              <c:dLblPos val="r"/>
              <c:showLegendKey val="0"/>
              <c:showVal val="1"/>
              <c:showCatName val="0"/>
              <c:showSerName val="0"/>
              <c:showPercent val="0"/>
              <c:showBubbleSize val="0"/>
            </c:dLbl>
            <c:dLbl>
              <c:idx val="3"/>
              <c:layout>
                <c:manualLayout>
                  <c:x val="-2.1773974909865337E-2"/>
                  <c:y val="2.0056160104686301E-2"/>
                </c:manualLayout>
              </c:layout>
              <c:dLblPos val="r"/>
              <c:showLegendKey val="0"/>
              <c:showVal val="1"/>
              <c:showCatName val="0"/>
              <c:showSerName val="0"/>
              <c:showPercent val="0"/>
              <c:showBubbleSize val="0"/>
            </c:dLbl>
            <c:dLbl>
              <c:idx val="4"/>
              <c:layout>
                <c:manualLayout>
                  <c:x val="-1.4250673680696154E-2"/>
                  <c:y val="8.7391927262956866E-3"/>
                </c:manualLayout>
              </c:layout>
              <c:dLblPos val="r"/>
              <c:showLegendKey val="0"/>
              <c:showVal val="1"/>
              <c:showCatName val="0"/>
              <c:showSerName val="0"/>
              <c:showPercent val="0"/>
              <c:showBubbleSize val="0"/>
            </c:dLbl>
            <c:dLbl>
              <c:idx val="5"/>
              <c:layout>
                <c:manualLayout>
                  <c:x val="-1.0199773527031364E-2"/>
                  <c:y val="3.5507263756235176E-2"/>
                </c:manualLayout>
              </c:layout>
              <c:dLblPos val="r"/>
              <c:showLegendKey val="0"/>
              <c:showVal val="1"/>
              <c:showCatName val="0"/>
              <c:showSerName val="0"/>
              <c:showPercent val="0"/>
              <c:showBubbleSize val="0"/>
            </c:dLbl>
            <c:dLbl>
              <c:idx val="6"/>
              <c:layout>
                <c:manualLayout>
                  <c:x val="-3.395177444812584E-3"/>
                  <c:y val="3.4812460534497776E-2"/>
                </c:manualLayout>
              </c:layout>
              <c:dLblPos val="r"/>
              <c:showLegendKey val="0"/>
              <c:showVal val="1"/>
              <c:showCatName val="0"/>
              <c:showSerName val="0"/>
              <c:showPercent val="0"/>
              <c:showBubbleSize val="0"/>
            </c:dLbl>
            <c:spPr>
              <a:noFill/>
              <a:ln w="25163">
                <a:noFill/>
              </a:ln>
            </c:spPr>
            <c:txPr>
              <a:bodyPr/>
              <a:lstStyle/>
              <a:p>
                <a:pPr>
                  <a:defRPr sz="793"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Лист3!$E$11:$K$11</c:f>
              <c:strCache>
                <c:ptCount val="7"/>
                <c:pt idx="0">
                  <c:v>2011</c:v>
                </c:pt>
                <c:pt idx="1">
                  <c:v>2013</c:v>
                </c:pt>
                <c:pt idx="2">
                  <c:v>2014</c:v>
                </c:pt>
                <c:pt idx="3">
                  <c:v>2015</c:v>
                </c:pt>
                <c:pt idx="4">
                  <c:v>2016</c:v>
                </c:pt>
                <c:pt idx="5">
                  <c:v>2017</c:v>
                </c:pt>
                <c:pt idx="6">
                  <c:v>2018 г. </c:v>
                </c:pt>
              </c:strCache>
            </c:strRef>
          </c:cat>
          <c:val>
            <c:numRef>
              <c:f>Лист3!$E$13:$K$13</c:f>
              <c:numCache>
                <c:formatCode>General</c:formatCode>
                <c:ptCount val="7"/>
                <c:pt idx="0">
                  <c:v>70.2</c:v>
                </c:pt>
                <c:pt idx="1">
                  <c:v>65.400000000000006</c:v>
                </c:pt>
                <c:pt idx="2">
                  <c:v>39.5</c:v>
                </c:pt>
                <c:pt idx="3">
                  <c:v>47.8</c:v>
                </c:pt>
                <c:pt idx="4">
                  <c:v>30.2</c:v>
                </c:pt>
                <c:pt idx="5">
                  <c:v>51.7</c:v>
                </c:pt>
                <c:pt idx="6">
                  <c:v>44.8</c:v>
                </c:pt>
              </c:numCache>
            </c:numRef>
          </c:val>
          <c:smooth val="0"/>
        </c:ser>
        <c:dLbls>
          <c:showLegendKey val="0"/>
          <c:showVal val="1"/>
          <c:showCatName val="0"/>
          <c:showSerName val="0"/>
          <c:showPercent val="0"/>
          <c:showBubbleSize val="0"/>
        </c:dLbls>
        <c:marker val="1"/>
        <c:smooth val="0"/>
        <c:axId val="225422336"/>
        <c:axId val="237921792"/>
      </c:lineChart>
      <c:catAx>
        <c:axId val="225422336"/>
        <c:scaling>
          <c:orientation val="minMax"/>
        </c:scaling>
        <c:delete val="0"/>
        <c:axPos val="b"/>
        <c:numFmt formatCode="General" sourceLinked="1"/>
        <c:majorTickMark val="out"/>
        <c:minorTickMark val="none"/>
        <c:tickLblPos val="nextTo"/>
        <c:spPr>
          <a:ln w="3145">
            <a:solidFill>
              <a:srgbClr val="000000"/>
            </a:solidFill>
            <a:prstDash val="solid"/>
          </a:ln>
        </c:spPr>
        <c:txPr>
          <a:bodyPr rot="0" vert="horz"/>
          <a:lstStyle/>
          <a:p>
            <a:pPr>
              <a:defRPr sz="793" b="0" i="0" u="none" strike="noStrike" baseline="0">
                <a:solidFill>
                  <a:srgbClr val="000000"/>
                </a:solidFill>
                <a:latin typeface="Arial Cyr"/>
                <a:ea typeface="Arial Cyr"/>
                <a:cs typeface="Arial Cyr"/>
              </a:defRPr>
            </a:pPr>
            <a:endParaRPr lang="ru-RU"/>
          </a:p>
        </c:txPr>
        <c:crossAx val="237921792"/>
        <c:crosses val="autoZero"/>
        <c:auto val="1"/>
        <c:lblAlgn val="ctr"/>
        <c:lblOffset val="100"/>
        <c:tickLblSkip val="1"/>
        <c:tickMarkSkip val="1"/>
        <c:noMultiLvlLbl val="0"/>
      </c:catAx>
      <c:valAx>
        <c:axId val="237921792"/>
        <c:scaling>
          <c:orientation val="minMax"/>
        </c:scaling>
        <c:delete val="0"/>
        <c:axPos val="l"/>
        <c:numFmt formatCode="General" sourceLinked="1"/>
        <c:majorTickMark val="out"/>
        <c:minorTickMark val="none"/>
        <c:tickLblPos val="nextTo"/>
        <c:spPr>
          <a:ln w="3145">
            <a:solidFill>
              <a:srgbClr val="000000"/>
            </a:solidFill>
            <a:prstDash val="solid"/>
          </a:ln>
        </c:spPr>
        <c:txPr>
          <a:bodyPr rot="0" vert="horz"/>
          <a:lstStyle/>
          <a:p>
            <a:pPr>
              <a:defRPr sz="793" b="0" i="0" u="none" strike="noStrike" baseline="0">
                <a:solidFill>
                  <a:srgbClr val="000000"/>
                </a:solidFill>
                <a:latin typeface="Arial Cyr"/>
                <a:ea typeface="Arial Cyr"/>
                <a:cs typeface="Arial Cyr"/>
              </a:defRPr>
            </a:pPr>
            <a:endParaRPr lang="ru-RU"/>
          </a:p>
        </c:txPr>
        <c:crossAx val="225422336"/>
        <c:crosses val="autoZero"/>
        <c:crossBetween val="midCat"/>
      </c:valAx>
      <c:spPr>
        <a:solidFill>
          <a:srgbClr val="FFFFFF"/>
        </a:solidFill>
        <a:ln w="25163">
          <a:noFill/>
        </a:ln>
      </c:spPr>
    </c:plotArea>
    <c:legend>
      <c:legendPos val="b"/>
      <c:layout>
        <c:manualLayout>
          <c:xMode val="edge"/>
          <c:yMode val="edge"/>
          <c:x val="0.11979166666666667"/>
          <c:y val="0.8"/>
          <c:w val="0.76388888888888884"/>
          <c:h val="0.19024390243902439"/>
        </c:manualLayout>
      </c:layout>
      <c:overlay val="0"/>
      <c:spPr>
        <a:solidFill>
          <a:srgbClr val="FFFFFF"/>
        </a:solidFill>
        <a:ln w="25163">
          <a:noFill/>
        </a:ln>
      </c:spPr>
      <c:txPr>
        <a:bodyPr/>
        <a:lstStyle/>
        <a:p>
          <a:pPr>
            <a:defRPr sz="728" b="0" i="0" u="none" strike="noStrike" baseline="0">
              <a:solidFill>
                <a:srgbClr val="000000"/>
              </a:solidFill>
              <a:latin typeface="Arial Cyr"/>
              <a:ea typeface="Arial Cyr"/>
              <a:cs typeface="Arial Cyr"/>
            </a:defRPr>
          </a:pPr>
          <a:endParaRPr lang="ru-RU"/>
        </a:p>
      </c:txPr>
    </c:legend>
    <c:plotVisOnly val="1"/>
    <c:dispBlanksAs val="gap"/>
    <c:showDLblsOverMax val="0"/>
  </c:chart>
  <c:spPr>
    <a:solidFill>
      <a:srgbClr val="FFFFFF"/>
    </a:solidFill>
    <a:ln w="3145">
      <a:noFill/>
      <a:prstDash val="solid"/>
    </a:ln>
  </c:spPr>
  <c:txPr>
    <a:bodyPr/>
    <a:lstStyle/>
    <a:p>
      <a:pPr>
        <a:defRPr sz="793" b="0" i="0" u="none" strike="noStrike" baseline="0">
          <a:solidFill>
            <a:srgbClr val="000000"/>
          </a:solidFill>
          <a:latin typeface="Arial Cyr"/>
          <a:ea typeface="Arial Cyr"/>
          <a:cs typeface="Arial Cy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58</TotalTime>
  <Pages>6</Pages>
  <Words>2489</Words>
  <Characters>14191</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Ксения Е. Косыгина</dc:creator>
  <cp:lastModifiedBy>Ксения Е. Косыгина</cp:lastModifiedBy>
  <cp:revision>3</cp:revision>
  <dcterms:created xsi:type="dcterms:W3CDTF">2019-03-12T05:37:00Z</dcterms:created>
  <dcterms:modified xsi:type="dcterms:W3CDTF">2019-03-12T07:17:00Z</dcterms:modified>
</cp:coreProperties>
</file>