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DC8" w:rsidRPr="00E51DC8" w:rsidRDefault="00E51DC8" w:rsidP="00E51DC8">
      <w:pPr>
        <w:spacing w:line="360" w:lineRule="auto"/>
        <w:rPr>
          <w:rFonts w:eastAsiaTheme="minorHAnsi"/>
          <w:b/>
          <w:sz w:val="28"/>
          <w:szCs w:val="28"/>
          <w:lang w:eastAsia="en-US"/>
        </w:rPr>
      </w:pPr>
      <w:r w:rsidRPr="00E51DC8">
        <w:rPr>
          <w:rFonts w:eastAsiaTheme="minorHAnsi"/>
          <w:b/>
          <w:sz w:val="28"/>
          <w:szCs w:val="28"/>
          <w:lang w:eastAsia="en-US"/>
        </w:rPr>
        <w:t>УДК 331.548</w:t>
      </w:r>
      <w:r w:rsidR="00CF11FB" w:rsidRPr="00CF11FB">
        <w:rPr>
          <w:rFonts w:eastAsiaTheme="minorHAnsi"/>
          <w:b/>
          <w:sz w:val="28"/>
          <w:szCs w:val="28"/>
          <w:lang w:eastAsia="en-US"/>
        </w:rPr>
        <w:t>/</w:t>
      </w:r>
      <w:r w:rsidRPr="00E51DC8">
        <w:rPr>
          <w:rFonts w:eastAsiaTheme="minorHAnsi"/>
          <w:b/>
          <w:sz w:val="28"/>
          <w:szCs w:val="28"/>
          <w:lang w:eastAsia="en-US"/>
        </w:rPr>
        <w:t>ББК 65.240:74.200.536</w:t>
      </w:r>
    </w:p>
    <w:p w:rsidR="00E51DC8" w:rsidRPr="00E51DC8" w:rsidRDefault="00E51DC8" w:rsidP="00E51DC8">
      <w:pPr>
        <w:ind w:firstLine="709"/>
        <w:jc w:val="right"/>
        <w:rPr>
          <w:b/>
        </w:rPr>
      </w:pPr>
      <w:r w:rsidRPr="00E51DC8">
        <w:rPr>
          <w:b/>
        </w:rPr>
        <w:t>Разварина И.Н.</w:t>
      </w:r>
    </w:p>
    <w:p w:rsidR="00644B90" w:rsidRPr="001D2261" w:rsidRDefault="008F78F4" w:rsidP="004E103E">
      <w:pPr>
        <w:ind w:firstLine="709"/>
        <w:jc w:val="center"/>
        <w:rPr>
          <w:b/>
          <w:sz w:val="16"/>
          <w:szCs w:val="16"/>
        </w:rPr>
      </w:pPr>
      <w:r>
        <w:rPr>
          <w:b/>
        </w:rPr>
        <w:t>АНАЛИЗ ГОТОВНОСТИ</w:t>
      </w:r>
      <w:r w:rsidR="00DB70C6">
        <w:rPr>
          <w:b/>
        </w:rPr>
        <w:t xml:space="preserve"> </w:t>
      </w:r>
      <w:r w:rsidR="00DB70C6" w:rsidRPr="00DB70C6">
        <w:rPr>
          <w:b/>
        </w:rPr>
        <w:t>ДЕТЕЙ</w:t>
      </w:r>
      <w:r>
        <w:rPr>
          <w:b/>
        </w:rPr>
        <w:t xml:space="preserve"> К РЕАЛИЗ</w:t>
      </w:r>
      <w:r w:rsidR="00DB70C6">
        <w:rPr>
          <w:b/>
        </w:rPr>
        <w:t xml:space="preserve">АЦИИ ТРУДОВОГО ПОТЕНЦИАЛА </w:t>
      </w:r>
    </w:p>
    <w:p w:rsidR="00640C61" w:rsidRPr="004E103E" w:rsidRDefault="00644B90" w:rsidP="00640C61">
      <w:pPr>
        <w:ind w:firstLine="709"/>
        <w:jc w:val="both"/>
        <w:rPr>
          <w:i/>
        </w:rPr>
      </w:pPr>
      <w:r w:rsidRPr="004E103E">
        <w:rPr>
          <w:i/>
        </w:rPr>
        <w:t>Аннотация. В публикации представлены результаты оценки гот</w:t>
      </w:r>
      <w:bookmarkStart w:id="0" w:name="_GoBack"/>
      <w:bookmarkEnd w:id="0"/>
      <w:r w:rsidRPr="004E103E">
        <w:rPr>
          <w:i/>
        </w:rPr>
        <w:t xml:space="preserve">овности к </w:t>
      </w:r>
      <w:r w:rsidR="00673CB5" w:rsidRPr="004E103E">
        <w:rPr>
          <w:i/>
        </w:rPr>
        <w:t xml:space="preserve">реализации трудового потенциала детей 14-17 лет в Вологодской области. </w:t>
      </w:r>
      <w:r w:rsidRPr="004E103E">
        <w:rPr>
          <w:i/>
        </w:rPr>
        <w:t xml:space="preserve">Она позволяет на основе оценки состояния здоровья, уровня образования и коммуникативной компетентности дать представление о </w:t>
      </w:r>
      <w:proofErr w:type="spellStart"/>
      <w:r w:rsidRPr="004E103E">
        <w:rPr>
          <w:i/>
        </w:rPr>
        <w:t>сформированности</w:t>
      </w:r>
      <w:proofErr w:type="spellEnd"/>
      <w:r w:rsidRPr="004E103E">
        <w:rPr>
          <w:i/>
        </w:rPr>
        <w:t xml:space="preserve"> </w:t>
      </w:r>
      <w:r w:rsidR="00673CB5" w:rsidRPr="004E103E">
        <w:rPr>
          <w:i/>
        </w:rPr>
        <w:t xml:space="preserve">у подростков </w:t>
      </w:r>
      <w:r w:rsidRPr="004E103E">
        <w:rPr>
          <w:i/>
        </w:rPr>
        <w:t>будущего трудового потенциала</w:t>
      </w:r>
      <w:r w:rsidR="00673CB5" w:rsidRPr="004E103E">
        <w:rPr>
          <w:i/>
        </w:rPr>
        <w:t>.</w:t>
      </w:r>
    </w:p>
    <w:p w:rsidR="00673CB5" w:rsidRPr="004E103E" w:rsidRDefault="00673CB5" w:rsidP="00640C61">
      <w:pPr>
        <w:ind w:firstLine="709"/>
        <w:jc w:val="both"/>
        <w:rPr>
          <w:i/>
        </w:rPr>
      </w:pPr>
      <w:r w:rsidRPr="004E103E">
        <w:rPr>
          <w:i/>
        </w:rPr>
        <w:t>Ключевые слова: трудовой потенциал</w:t>
      </w:r>
      <w:r w:rsidR="008F78F4">
        <w:rPr>
          <w:i/>
        </w:rPr>
        <w:t xml:space="preserve">, дети, </w:t>
      </w:r>
      <w:r w:rsidR="004E103E" w:rsidRPr="004E103E">
        <w:rPr>
          <w:i/>
        </w:rPr>
        <w:t>готовность к эффективной реализации.</w:t>
      </w:r>
    </w:p>
    <w:p w:rsidR="00CF11FB" w:rsidRDefault="00CF11FB" w:rsidP="00640C61">
      <w:pPr>
        <w:ind w:firstLine="709"/>
        <w:jc w:val="both"/>
      </w:pPr>
      <w:r w:rsidRPr="00CF11FB">
        <w:t xml:space="preserve">Учеными доказано, что экономический рост в условиях дефицита трудовых ресурсов может </w:t>
      </w:r>
      <w:proofErr w:type="gramStart"/>
      <w:r w:rsidRPr="00CF11FB">
        <w:t>быть</w:t>
      </w:r>
      <w:proofErr w:type="gramEnd"/>
      <w:r w:rsidRPr="00CF11FB">
        <w:t xml:space="preserve"> достигнут только при условии эффективной реализации трудового потенциала. В настоящее время этот вопрос представляет проблему для современности, которая характеризуется неблагоприятн</w:t>
      </w:r>
      <w:r w:rsidR="008609DF">
        <w:t xml:space="preserve">ым прогнозом прироста населения, </w:t>
      </w:r>
      <w:r w:rsidRPr="00CF11FB">
        <w:t xml:space="preserve">в том числе </w:t>
      </w:r>
      <w:r w:rsidR="008609DF">
        <w:t xml:space="preserve">и </w:t>
      </w:r>
      <w:r w:rsidRPr="00CF11FB">
        <w:t>трудоспособного. Россия стремительно теряет свои позиции в демографическом плане. Если в 1991 году по чи</w:t>
      </w:r>
      <w:r w:rsidR="008609DF">
        <w:t>сленности населения РФ была на шестом  месте, в 2012 году –</w:t>
      </w:r>
      <w:r w:rsidRPr="00CF11FB">
        <w:t>10 мес</w:t>
      </w:r>
      <w:r w:rsidR="008609DF">
        <w:t xml:space="preserve">то, а по прогнозу на 2050 год будет занимать </w:t>
      </w:r>
      <w:r w:rsidRPr="00CF11FB">
        <w:t>14 позицию [2].</w:t>
      </w:r>
    </w:p>
    <w:p w:rsidR="00334987" w:rsidRDefault="00CF11FB" w:rsidP="00CF11FB">
      <w:pPr>
        <w:ind w:firstLine="709"/>
        <w:jc w:val="both"/>
        <w:rPr>
          <w:rFonts w:eastAsiaTheme="minorEastAsia"/>
          <w:bCs/>
          <w:iCs/>
          <w:spacing w:val="4"/>
          <w:kern w:val="24"/>
        </w:rPr>
      </w:pPr>
      <w:r>
        <w:t>Т</w:t>
      </w:r>
      <w:r w:rsidR="0060369E" w:rsidRPr="00640C61">
        <w:t>ермин «трудовой потенциал» появился в научных публикациях начала 1980-х годов ХХ в. Вопросы его формирования и использования обсуждались экономистами, демог</w:t>
      </w:r>
      <w:r w:rsidR="008609DF">
        <w:t>рафами, философами, социологами</w:t>
      </w:r>
      <w:r w:rsidR="009B2F54" w:rsidRPr="00D96E90">
        <w:t>[</w:t>
      </w:r>
      <w:r w:rsidR="00842A89">
        <w:t>10</w:t>
      </w:r>
      <w:r w:rsidR="0060369E" w:rsidRPr="00D96E90">
        <w:t xml:space="preserve">]. </w:t>
      </w:r>
      <w:r w:rsidR="0060369E" w:rsidRPr="00640C61">
        <w:t>В современных исследованиях много внимания уделено изучению факторов формирования и</w:t>
      </w:r>
      <w:r w:rsidR="008609DF">
        <w:t xml:space="preserve"> развития трудового потенциала, но </w:t>
      </w:r>
      <w:r w:rsidR="0060369E" w:rsidRPr="00640C61">
        <w:t>они не всегда дают представление о закономерностях способностей человека к труду</w:t>
      </w:r>
      <w:r>
        <w:t>.</w:t>
      </w:r>
      <w:r w:rsidR="00F55391" w:rsidRPr="00D96E90">
        <w:t xml:space="preserve"> </w:t>
      </w:r>
      <w:r w:rsidR="001F4E0D">
        <w:t xml:space="preserve">В этой связи важна оценка </w:t>
      </w:r>
      <w:r w:rsidR="0060369E">
        <w:rPr>
          <w:rFonts w:eastAsiaTheme="minorEastAsia"/>
          <w:bCs/>
          <w:iCs/>
          <w:spacing w:val="4"/>
          <w:kern w:val="24"/>
        </w:rPr>
        <w:t xml:space="preserve">трудового потенциала </w:t>
      </w:r>
      <w:r w:rsidR="001F4E0D">
        <w:rPr>
          <w:rFonts w:eastAsiaTheme="minorEastAsia"/>
          <w:bCs/>
          <w:iCs/>
          <w:spacing w:val="4"/>
          <w:kern w:val="24"/>
        </w:rPr>
        <w:t xml:space="preserve">не только взрослого, но и детского </w:t>
      </w:r>
      <w:r w:rsidR="0060369E">
        <w:rPr>
          <w:rFonts w:eastAsiaTheme="minorEastAsia"/>
          <w:bCs/>
          <w:iCs/>
          <w:spacing w:val="4"/>
          <w:kern w:val="24"/>
        </w:rPr>
        <w:t>населения</w:t>
      </w:r>
      <w:r w:rsidR="001F4E0D">
        <w:rPr>
          <w:rFonts w:eastAsiaTheme="minorEastAsia"/>
          <w:bCs/>
          <w:iCs/>
          <w:spacing w:val="4"/>
          <w:kern w:val="24"/>
        </w:rPr>
        <w:t>. Еще одной причиной являются неблагоприятные тенденции</w:t>
      </w:r>
      <w:r>
        <w:rPr>
          <w:rFonts w:eastAsiaTheme="minorEastAsia"/>
          <w:bCs/>
          <w:iCs/>
          <w:spacing w:val="4"/>
          <w:kern w:val="24"/>
        </w:rPr>
        <w:t xml:space="preserve"> развития детей по результатам</w:t>
      </w:r>
      <w:r w:rsidR="00334987">
        <w:rPr>
          <w:rFonts w:eastAsiaTheme="minorEastAsia"/>
          <w:bCs/>
          <w:iCs/>
          <w:spacing w:val="4"/>
          <w:kern w:val="24"/>
        </w:rPr>
        <w:t xml:space="preserve"> исследований:</w:t>
      </w:r>
    </w:p>
    <w:p w:rsidR="00673CB5" w:rsidRPr="00673CB5" w:rsidRDefault="00334987" w:rsidP="00673CB5">
      <w:pPr>
        <w:kinsoku w:val="0"/>
        <w:overflowPunct w:val="0"/>
        <w:ind w:firstLine="709"/>
        <w:contextualSpacing/>
        <w:jc w:val="both"/>
        <w:textAlignment w:val="baseline"/>
      </w:pPr>
      <w:r>
        <w:rPr>
          <w:rFonts w:eastAsiaTheme="minorEastAsia"/>
          <w:bCs/>
          <w:iCs/>
          <w:spacing w:val="4"/>
          <w:kern w:val="24"/>
        </w:rPr>
        <w:t>– с</w:t>
      </w:r>
      <w:r w:rsidR="00CF11FB">
        <w:rPr>
          <w:rFonts w:eastAsiaTheme="minorEastAsia"/>
          <w:bCs/>
          <w:iCs/>
          <w:spacing w:val="4"/>
          <w:kern w:val="24"/>
        </w:rPr>
        <w:t xml:space="preserve">нижение уровня здоровья. </w:t>
      </w:r>
      <w:r w:rsidR="00673CB5" w:rsidRPr="00673CB5">
        <w:rPr>
          <w:rFonts w:eastAsiaTheme="minorEastAsia"/>
          <w:bCs/>
          <w:spacing w:val="4"/>
          <w:kern w:val="24"/>
        </w:rPr>
        <w:t xml:space="preserve">Наиболее выраженное ухудшение </w:t>
      </w:r>
      <w:r w:rsidR="001F4E0D">
        <w:rPr>
          <w:rFonts w:eastAsiaTheme="minorEastAsia"/>
          <w:bCs/>
          <w:spacing w:val="4"/>
          <w:kern w:val="24"/>
        </w:rPr>
        <w:t xml:space="preserve">его </w:t>
      </w:r>
      <w:r w:rsidR="00673CB5" w:rsidRPr="00673CB5">
        <w:rPr>
          <w:rFonts w:eastAsiaTheme="minorEastAsia"/>
          <w:bCs/>
          <w:spacing w:val="4"/>
          <w:kern w:val="24"/>
        </w:rPr>
        <w:t xml:space="preserve">происходит в период получения образования. К выпускному классу школы частота функциональных нарушений </w:t>
      </w:r>
      <w:r w:rsidR="00CF11FB">
        <w:rPr>
          <w:rFonts w:eastAsiaTheme="minorEastAsia"/>
          <w:bCs/>
          <w:spacing w:val="4"/>
          <w:kern w:val="24"/>
        </w:rPr>
        <w:t xml:space="preserve">у детей </w:t>
      </w:r>
      <w:r w:rsidR="00673CB5" w:rsidRPr="00673CB5">
        <w:rPr>
          <w:rFonts w:eastAsiaTheme="minorEastAsia"/>
          <w:bCs/>
          <w:spacing w:val="4"/>
          <w:kern w:val="24"/>
        </w:rPr>
        <w:t>возрастает на 86%,</w:t>
      </w:r>
      <w:r>
        <w:rPr>
          <w:rFonts w:eastAsiaTheme="minorEastAsia"/>
          <w:bCs/>
          <w:spacing w:val="4"/>
          <w:kern w:val="24"/>
        </w:rPr>
        <w:t xml:space="preserve"> хронических болезней – на 100%;</w:t>
      </w:r>
    </w:p>
    <w:p w:rsidR="00673CB5" w:rsidRPr="00673CB5" w:rsidRDefault="00334987" w:rsidP="00673CB5">
      <w:pPr>
        <w:kinsoku w:val="0"/>
        <w:overflowPunct w:val="0"/>
        <w:ind w:firstLine="709"/>
        <w:contextualSpacing/>
        <w:jc w:val="both"/>
        <w:textAlignment w:val="baseline"/>
      </w:pPr>
      <w:r>
        <w:rPr>
          <w:rFonts w:eastAsiaTheme="minorEastAsia"/>
          <w:bCs/>
          <w:iCs/>
          <w:spacing w:val="4"/>
          <w:kern w:val="24"/>
        </w:rPr>
        <w:t>– с</w:t>
      </w:r>
      <w:r w:rsidR="00673CB5" w:rsidRPr="00673CB5">
        <w:rPr>
          <w:rFonts w:eastAsiaTheme="minorEastAsia"/>
          <w:bCs/>
          <w:iCs/>
          <w:spacing w:val="4"/>
          <w:kern w:val="24"/>
        </w:rPr>
        <w:t>нижение уровн</w:t>
      </w:r>
      <w:r w:rsidR="00CF11FB">
        <w:rPr>
          <w:rFonts w:eastAsiaTheme="minorEastAsia"/>
          <w:bCs/>
          <w:iCs/>
          <w:spacing w:val="4"/>
          <w:kern w:val="24"/>
        </w:rPr>
        <w:t xml:space="preserve">я подготовки школьников по </w:t>
      </w:r>
      <w:r w:rsidR="00CF11FB">
        <w:rPr>
          <w:rFonts w:eastAsiaTheme="minorEastAsia"/>
          <w:bCs/>
          <w:spacing w:val="4"/>
          <w:kern w:val="24"/>
        </w:rPr>
        <w:t>результатам</w:t>
      </w:r>
      <w:r w:rsidR="00673CB5" w:rsidRPr="00673CB5">
        <w:rPr>
          <w:rFonts w:eastAsiaTheme="minorEastAsia"/>
          <w:bCs/>
          <w:spacing w:val="4"/>
          <w:kern w:val="24"/>
        </w:rPr>
        <w:t xml:space="preserve"> исследований PISA</w:t>
      </w:r>
      <w:r w:rsidR="001F4E0D">
        <w:rPr>
          <w:rFonts w:eastAsiaTheme="minorEastAsia"/>
          <w:bCs/>
          <w:spacing w:val="4"/>
          <w:kern w:val="24"/>
        </w:rPr>
        <w:t xml:space="preserve"> </w:t>
      </w:r>
      <w:r w:rsidR="00673CB5" w:rsidRPr="00673CB5">
        <w:rPr>
          <w:rFonts w:eastAsiaTheme="minorEastAsia"/>
          <w:bCs/>
          <w:spacing w:val="4"/>
          <w:kern w:val="24"/>
        </w:rPr>
        <w:t>и PIPLS и др. Лучшие российские школьники на протяжении 2006-2012 гг. уступали своим сверстникам из других стран, и только к 2015 году наблюдается положительная динамика достижений учащихся по грамотности чтен</w:t>
      </w:r>
      <w:r w:rsidR="00842A89">
        <w:rPr>
          <w:rFonts w:eastAsiaTheme="minorEastAsia"/>
          <w:bCs/>
          <w:spacing w:val="4"/>
          <w:kern w:val="24"/>
        </w:rPr>
        <w:t>ия и математической грамотности;</w:t>
      </w:r>
    </w:p>
    <w:p w:rsidR="00673CB5" w:rsidRPr="00673CB5" w:rsidRDefault="00334987" w:rsidP="00673CB5">
      <w:pPr>
        <w:kinsoku w:val="0"/>
        <w:overflowPunct w:val="0"/>
        <w:ind w:firstLine="709"/>
        <w:contextualSpacing/>
        <w:jc w:val="both"/>
        <w:textAlignment w:val="baseline"/>
      </w:pPr>
      <w:proofErr w:type="gramStart"/>
      <w:r>
        <w:rPr>
          <w:rFonts w:eastAsiaTheme="minorEastAsia"/>
          <w:bCs/>
          <w:spacing w:val="4"/>
          <w:kern w:val="24"/>
        </w:rPr>
        <w:t>– п</w:t>
      </w:r>
      <w:r w:rsidR="00673CB5" w:rsidRPr="00673CB5">
        <w:rPr>
          <w:rFonts w:eastAsiaTheme="minorEastAsia"/>
          <w:bCs/>
          <w:spacing w:val="4"/>
          <w:kern w:val="24"/>
        </w:rPr>
        <w:t>о данным мониторинга качества</w:t>
      </w:r>
      <w:r>
        <w:rPr>
          <w:rFonts w:eastAsiaTheme="minorEastAsia"/>
          <w:bCs/>
          <w:spacing w:val="4"/>
          <w:kern w:val="24"/>
        </w:rPr>
        <w:t xml:space="preserve"> трудового потенциала населения </w:t>
      </w:r>
      <w:r w:rsidR="00673CB5" w:rsidRPr="00673CB5">
        <w:rPr>
          <w:rFonts w:eastAsiaTheme="minorEastAsia"/>
          <w:bCs/>
          <w:spacing w:val="4"/>
          <w:kern w:val="24"/>
        </w:rPr>
        <w:t xml:space="preserve">Вологодской области, проводимого </w:t>
      </w:r>
      <w:r w:rsidR="008F78F4">
        <w:rPr>
          <w:rFonts w:eastAsiaTheme="minorEastAsia"/>
          <w:bCs/>
          <w:spacing w:val="4"/>
          <w:kern w:val="24"/>
        </w:rPr>
        <w:t xml:space="preserve">ФГБУН Вол НЦ РАН (ранее </w:t>
      </w:r>
      <w:r w:rsidR="00673CB5" w:rsidRPr="00673CB5">
        <w:rPr>
          <w:rFonts w:eastAsiaTheme="minorEastAsia"/>
          <w:bCs/>
          <w:spacing w:val="4"/>
          <w:kern w:val="24"/>
        </w:rPr>
        <w:t xml:space="preserve">ИСЭРТ РАН в 1997 – 2016 гг., только 44% молодых вологжан </w:t>
      </w:r>
      <w:r w:rsidR="008F78F4">
        <w:rPr>
          <w:rFonts w:eastAsiaTheme="minorEastAsia"/>
          <w:bCs/>
          <w:spacing w:val="4"/>
          <w:kern w:val="24"/>
        </w:rPr>
        <w:t xml:space="preserve">были </w:t>
      </w:r>
      <w:r w:rsidR="00673CB5" w:rsidRPr="00673CB5">
        <w:rPr>
          <w:rFonts w:eastAsiaTheme="minorEastAsia"/>
          <w:bCs/>
          <w:spacing w:val="4"/>
          <w:kern w:val="24"/>
        </w:rPr>
        <w:t>трудоустроены в соответствии</w:t>
      </w:r>
      <w:r w:rsidR="008F78F4">
        <w:rPr>
          <w:rFonts w:eastAsiaTheme="minorEastAsia"/>
          <w:bCs/>
          <w:spacing w:val="4"/>
          <w:kern w:val="24"/>
        </w:rPr>
        <w:t xml:space="preserve"> со специальностью, 14% работали</w:t>
      </w:r>
      <w:r w:rsidR="00673CB5" w:rsidRPr="00673CB5">
        <w:rPr>
          <w:rFonts w:eastAsiaTheme="minorEastAsia"/>
          <w:bCs/>
          <w:spacing w:val="4"/>
          <w:kern w:val="24"/>
        </w:rPr>
        <w:t xml:space="preserve"> в близкой по полученной профессии сфере.</w:t>
      </w:r>
      <w:proofErr w:type="gramEnd"/>
      <w:r w:rsidRPr="00334987">
        <w:t xml:space="preserve"> </w:t>
      </w:r>
      <w:r w:rsidRPr="00334987">
        <w:rPr>
          <w:rFonts w:eastAsiaTheme="minorEastAsia"/>
          <w:bCs/>
          <w:spacing w:val="4"/>
          <w:kern w:val="24"/>
        </w:rPr>
        <w:t xml:space="preserve">При этом уровень реализации трудового потенциала и его интеллектуальной компоненты у </w:t>
      </w:r>
      <w:proofErr w:type="gramStart"/>
      <w:r w:rsidRPr="00334987">
        <w:rPr>
          <w:rFonts w:eastAsiaTheme="minorEastAsia"/>
          <w:bCs/>
          <w:spacing w:val="4"/>
          <w:kern w:val="24"/>
        </w:rPr>
        <w:t>работающих</w:t>
      </w:r>
      <w:proofErr w:type="gramEnd"/>
      <w:r w:rsidRPr="00334987">
        <w:rPr>
          <w:rFonts w:eastAsiaTheme="minorEastAsia"/>
          <w:bCs/>
          <w:spacing w:val="4"/>
          <w:kern w:val="24"/>
        </w:rPr>
        <w:t xml:space="preserve"> по специальности намного выше</w:t>
      </w:r>
      <w:r w:rsidR="00F7484C">
        <w:rPr>
          <w:rFonts w:eastAsiaTheme="minorEastAsia"/>
          <w:bCs/>
          <w:spacing w:val="4"/>
          <w:kern w:val="24"/>
        </w:rPr>
        <w:t xml:space="preserve"> </w:t>
      </w:r>
      <w:r w:rsidR="00F7484C" w:rsidRPr="00D96E90">
        <w:rPr>
          <w:rFonts w:eastAsiaTheme="minorEastAsia"/>
          <w:bCs/>
          <w:spacing w:val="4"/>
          <w:kern w:val="24"/>
        </w:rPr>
        <w:t>[3</w:t>
      </w:r>
      <w:r w:rsidRPr="00D96E90">
        <w:rPr>
          <w:rFonts w:eastAsiaTheme="minorEastAsia"/>
          <w:bCs/>
          <w:spacing w:val="4"/>
          <w:kern w:val="24"/>
        </w:rPr>
        <w:t xml:space="preserve">]. </w:t>
      </w:r>
    </w:p>
    <w:p w:rsidR="0060369E" w:rsidRPr="00D96E90" w:rsidRDefault="0060369E" w:rsidP="0060369E">
      <w:pPr>
        <w:ind w:firstLine="709"/>
        <w:jc w:val="both"/>
      </w:pPr>
      <w:r w:rsidRPr="0060369E">
        <w:rPr>
          <w:b/>
        </w:rPr>
        <w:t>Методы и методология.</w:t>
      </w:r>
      <w:r>
        <w:t xml:space="preserve"> </w:t>
      </w:r>
      <w:r w:rsidR="00CF11FB">
        <w:t>Существует множество теоретико-методологических подходов</w:t>
      </w:r>
      <w:r w:rsidRPr="00640C61">
        <w:t xml:space="preserve"> к оценке количественных и качественных характеристик трудового потенциала в</w:t>
      </w:r>
      <w:r w:rsidR="00CF11FB">
        <w:t>зрослого населения. Разработаны</w:t>
      </w:r>
      <w:r w:rsidRPr="00640C61">
        <w:t xml:space="preserve"> </w:t>
      </w:r>
      <w:r w:rsidR="00CF11FB">
        <w:t xml:space="preserve">они и </w:t>
      </w:r>
      <w:r w:rsidRPr="00640C61">
        <w:t xml:space="preserve">учеными </w:t>
      </w:r>
      <w:r w:rsidR="008F78F4">
        <w:t xml:space="preserve">ФГБУН </w:t>
      </w:r>
      <w:proofErr w:type="spellStart"/>
      <w:r w:rsidRPr="00640C61">
        <w:t>ВолНЦ</w:t>
      </w:r>
      <w:proofErr w:type="spellEnd"/>
      <w:r w:rsidRPr="00640C61">
        <w:t xml:space="preserve"> РАН</w:t>
      </w:r>
      <w:r w:rsidR="00931628">
        <w:t xml:space="preserve"> </w:t>
      </w:r>
      <w:r w:rsidR="00931628" w:rsidRPr="00D96E90">
        <w:t>[</w:t>
      </w:r>
      <w:r w:rsidR="00974EE3" w:rsidRPr="00D96E90">
        <w:t>4</w:t>
      </w:r>
      <w:r w:rsidRPr="00D96E90">
        <w:t xml:space="preserve">]. </w:t>
      </w:r>
      <w:r w:rsidRPr="00640C61">
        <w:t xml:space="preserve">Сформирована база данных качественных характеристик экономически активного населения Вологодской области с 1997 года. Разработана методика расчёта интегрального показателя качества трудового потенциала, отражающего физическое и психическое здоровье населения, его когнитивный и творческий потенциал, культурный уровень и нравственность, социальные притязания и коммуникабельность </w:t>
      </w:r>
      <w:r w:rsidRPr="00D96E90">
        <w:t>работников.</w:t>
      </w:r>
    </w:p>
    <w:p w:rsidR="001F4E0D" w:rsidRDefault="0060369E" w:rsidP="0060369E">
      <w:pPr>
        <w:ind w:firstLine="709"/>
        <w:jc w:val="both"/>
      </w:pPr>
      <w:r w:rsidRPr="00974EE3">
        <w:t xml:space="preserve">Отметим, что, несмотря на широкий </w:t>
      </w:r>
      <w:r w:rsidRPr="0060369E">
        <w:t>спектр методик, комплексных междисциплинарных исследований трудового потенциала детского населения нет</w:t>
      </w:r>
      <w:r w:rsidR="00931628" w:rsidRPr="00974EE3">
        <w:rPr>
          <w:color w:val="FF0000"/>
        </w:rPr>
        <w:t xml:space="preserve"> </w:t>
      </w:r>
      <w:r w:rsidR="00931628" w:rsidRPr="00D96E90">
        <w:t>[</w:t>
      </w:r>
      <w:r w:rsidR="001D2261">
        <w:t>5</w:t>
      </w:r>
      <w:r w:rsidRPr="00D96E90">
        <w:t xml:space="preserve">]. </w:t>
      </w:r>
      <w:r w:rsidRPr="00640C61">
        <w:t>Его компоненты: здоровье, образование, коммуникативная компетентность изучаются в рамках различны</w:t>
      </w:r>
      <w:r w:rsidR="001F4E0D">
        <w:t xml:space="preserve">х социологических исследований, </w:t>
      </w:r>
      <w:r w:rsidR="001F4E0D" w:rsidRPr="001F4E0D">
        <w:t xml:space="preserve">которые наряду со статистикой и </w:t>
      </w:r>
      <w:r w:rsidR="001F4E0D" w:rsidRPr="001F4E0D">
        <w:lastRenderedPageBreak/>
        <w:t>индивидуальными консультациями специалистов позволяют сделать более глубокий анализ. Такого подхода придерживаются ученые ИСЭПН РАН (</w:t>
      </w:r>
      <w:proofErr w:type="spellStart"/>
      <w:r w:rsidR="001F4E0D" w:rsidRPr="001F4E0D">
        <w:t>Римашевская</w:t>
      </w:r>
      <w:proofErr w:type="spellEnd"/>
      <w:r w:rsidR="001F4E0D" w:rsidRPr="001F4E0D">
        <w:t xml:space="preserve"> Н.М., Медведева Е.И., Маркова Н.Е), инициировавшие проведение Международного междисциплинарного проекта, посвященного здоровью молодого поколения и внедрению инструментария социологического</w:t>
      </w:r>
      <w:r w:rsidR="001F4E0D">
        <w:t xml:space="preserve"> обследования детей и молодежи.</w:t>
      </w:r>
    </w:p>
    <w:p w:rsidR="0060369E" w:rsidRPr="00640C61" w:rsidRDefault="001F4E0D" w:rsidP="0060369E">
      <w:pPr>
        <w:ind w:firstLine="709"/>
        <w:jc w:val="both"/>
      </w:pPr>
      <w:r>
        <w:t>П</w:t>
      </w:r>
      <w:r w:rsidR="0060369E" w:rsidRPr="00640C61">
        <w:t>о результатам опроса детского населения британского Национального института детства и Центра многолетних исследований «Национальное исследование развития ребенка» (NCDS), выборка которого составила 17 тысяч детей, получено, что:</w:t>
      </w:r>
    </w:p>
    <w:p w:rsidR="0060369E" w:rsidRPr="00640C61" w:rsidRDefault="0060369E" w:rsidP="0060369E">
      <w:pPr>
        <w:ind w:firstLine="709"/>
        <w:jc w:val="both"/>
      </w:pPr>
      <w:r w:rsidRPr="00640C61">
        <w:t xml:space="preserve"> – две трети детей, отказывающихся от получения высшего образования, впоследствии работают на низкооплачиваемых должностях;</w:t>
      </w:r>
    </w:p>
    <w:p w:rsidR="001F4E0D" w:rsidRDefault="0060369E" w:rsidP="0060369E">
      <w:pPr>
        <w:ind w:firstLine="709"/>
        <w:jc w:val="both"/>
      </w:pPr>
      <w:r w:rsidRPr="00640C61">
        <w:t xml:space="preserve">– дети, имеющие нарушения поведения, чаще </w:t>
      </w:r>
      <w:proofErr w:type="gramStart"/>
      <w:r w:rsidRPr="00640C61">
        <w:t>испытывают проблемы</w:t>
      </w:r>
      <w:proofErr w:type="gramEnd"/>
      <w:r w:rsidRPr="00640C61">
        <w:t xml:space="preserve"> с трудоустройством. </w:t>
      </w:r>
    </w:p>
    <w:p w:rsidR="001F4E0D" w:rsidRDefault="0060369E" w:rsidP="0060369E">
      <w:pPr>
        <w:ind w:firstLine="709"/>
        <w:jc w:val="both"/>
      </w:pPr>
      <w:r w:rsidRPr="00640C61">
        <w:t>Однако в целом исследования остаются разрозненными, отсутствует системность, преемственность полученных данных, возможность практического использования.</w:t>
      </w:r>
      <w:r w:rsidR="001F4E0D" w:rsidRPr="00640C61">
        <w:t xml:space="preserve"> </w:t>
      </w:r>
      <w:r w:rsidRPr="00640C61">
        <w:t>Поэтому актуальна необходимость совершенствования как теоретических, так и методических практик получения комплексной информации, которые могут стать основой межведомственного взаимодействия в работе по повышению уровня трудового потенциала.</w:t>
      </w:r>
    </w:p>
    <w:p w:rsidR="0060369E" w:rsidRPr="00640C61" w:rsidRDefault="001F4E0D" w:rsidP="0060369E">
      <w:pPr>
        <w:ind w:firstLine="709"/>
        <w:jc w:val="both"/>
        <w:rPr>
          <w:rFonts w:eastAsia="Calibri"/>
          <w:lang w:eastAsia="en-US"/>
        </w:rPr>
      </w:pPr>
      <w:r w:rsidRPr="001F4E0D">
        <w:t>В 2017 – 2018 гг. на базе образовательных организаций Вологодской области проведено исследование с целью определения уровня готовности детей 14-17 лет к эффективной реализации трудового потенциала с исполь</w:t>
      </w:r>
      <w:r>
        <w:t>зованием разработанной методики</w:t>
      </w:r>
      <w:r w:rsidRPr="001F4E0D">
        <w:t>.</w:t>
      </w:r>
      <w:r w:rsidR="0060369E" w:rsidRPr="00640C61">
        <w:t xml:space="preserve"> В нашем исследовании использованы следующие определения. </w:t>
      </w:r>
      <w:r w:rsidR="0060369E" w:rsidRPr="00640C61">
        <w:rPr>
          <w:rFonts w:eastAsiaTheme="minorHAnsi"/>
          <w:b/>
          <w:lang w:eastAsia="en-US"/>
        </w:rPr>
        <w:t>Трудовой потенциал человека –</w:t>
      </w:r>
      <w:r w:rsidR="0060369E" w:rsidRPr="00640C61">
        <w:rPr>
          <w:rFonts w:eastAsiaTheme="minorHAnsi"/>
          <w:lang w:eastAsia="en-US"/>
        </w:rPr>
        <w:t xml:space="preserve"> это одна из подсистем человеческого потенциала, совокупность качеств: состояние здоровья, выносливость, тип нервной системы, его физические, умственные</w:t>
      </w:r>
      <w:r w:rsidR="00CF11FB">
        <w:rPr>
          <w:rFonts w:eastAsiaTheme="minorHAnsi"/>
          <w:lang w:eastAsia="en-US"/>
        </w:rPr>
        <w:t xml:space="preserve"> и интеллектуальные возможности</w:t>
      </w:r>
      <w:r w:rsidR="00CF11FB" w:rsidRPr="00D96E90">
        <w:rPr>
          <w:rFonts w:eastAsiaTheme="minorHAnsi"/>
          <w:lang w:eastAsia="en-US"/>
        </w:rPr>
        <w:t xml:space="preserve"> </w:t>
      </w:r>
      <w:r w:rsidR="009B2F54" w:rsidRPr="00D96E90">
        <w:rPr>
          <w:rFonts w:eastAsiaTheme="minorHAnsi"/>
          <w:lang w:eastAsia="en-US"/>
        </w:rPr>
        <w:t>[</w:t>
      </w:r>
      <w:r w:rsidR="00F7484C" w:rsidRPr="00D96E90">
        <w:rPr>
          <w:rFonts w:eastAsiaTheme="minorHAnsi"/>
          <w:lang w:eastAsia="en-US"/>
        </w:rPr>
        <w:t>1</w:t>
      </w:r>
      <w:r w:rsidR="0060369E" w:rsidRPr="00D96E90">
        <w:rPr>
          <w:rFonts w:eastAsiaTheme="minorHAnsi"/>
          <w:lang w:eastAsia="en-US"/>
        </w:rPr>
        <w:t xml:space="preserve">]. </w:t>
      </w:r>
      <w:r w:rsidR="0060369E" w:rsidRPr="00640C61">
        <w:rPr>
          <w:rFonts w:eastAsiaTheme="minorHAnsi"/>
          <w:lang w:eastAsia="en-US"/>
        </w:rPr>
        <w:t xml:space="preserve">Применительно к детскому населению будем использовать термин </w:t>
      </w:r>
      <w:r w:rsidR="0060369E" w:rsidRPr="00640C61">
        <w:rPr>
          <w:rFonts w:eastAsiaTheme="minorHAnsi"/>
          <w:b/>
          <w:lang w:eastAsia="en-US"/>
        </w:rPr>
        <w:t>«трудовой потенциал детей»,</w:t>
      </w:r>
      <w:r w:rsidR="0060369E" w:rsidRPr="00640C61">
        <w:rPr>
          <w:rFonts w:eastAsiaTheme="minorHAnsi"/>
          <w:lang w:eastAsia="en-US"/>
        </w:rPr>
        <w:t xml:space="preserve"> он характеризует качества, которые могут быть задействованы для решения профессиональных задач в будущем. При этом специфическим объектом исследований являются состояние здоровья, уровень образования, развитие коммуникативных навыков, которые предопределяют качество будущ</w:t>
      </w:r>
      <w:r w:rsidR="00931628">
        <w:rPr>
          <w:rFonts w:eastAsiaTheme="minorHAnsi"/>
          <w:lang w:eastAsia="en-US"/>
        </w:rPr>
        <w:t xml:space="preserve">его трудового </w:t>
      </w:r>
      <w:r w:rsidR="00931628" w:rsidRPr="00D96E90">
        <w:rPr>
          <w:rFonts w:eastAsiaTheme="minorHAnsi"/>
          <w:lang w:eastAsia="en-US"/>
        </w:rPr>
        <w:t>потенциала</w:t>
      </w:r>
      <w:r w:rsidR="001C6F61" w:rsidRPr="00D96E90">
        <w:rPr>
          <w:rFonts w:eastAsiaTheme="minorHAnsi"/>
          <w:lang w:eastAsia="en-US"/>
        </w:rPr>
        <w:t xml:space="preserve"> </w:t>
      </w:r>
      <w:r w:rsidR="00931628" w:rsidRPr="00D96E90">
        <w:rPr>
          <w:rFonts w:eastAsiaTheme="minorHAnsi"/>
          <w:lang w:eastAsia="en-US"/>
        </w:rPr>
        <w:t>[</w:t>
      </w:r>
      <w:r w:rsidR="00842A89">
        <w:rPr>
          <w:rFonts w:eastAsiaTheme="minorHAnsi"/>
          <w:lang w:eastAsia="en-US"/>
        </w:rPr>
        <w:t>9</w:t>
      </w:r>
      <w:r w:rsidR="0060369E" w:rsidRPr="00D96E90">
        <w:rPr>
          <w:rFonts w:eastAsiaTheme="minorHAnsi"/>
          <w:lang w:eastAsia="en-US"/>
        </w:rPr>
        <w:t xml:space="preserve">]. </w:t>
      </w:r>
      <w:r w:rsidR="0060369E" w:rsidRPr="00640C61">
        <w:rPr>
          <w:rFonts w:eastAsiaTheme="minorHAnsi"/>
          <w:lang w:eastAsia="en-US"/>
        </w:rPr>
        <w:t>Важно, что методологической предпосылкой исследования в рамках экономики народонаселения и демографии является тезис о том, что состав и связи компонентов трудового потенциала детей сходны с теми, которые выделяются в структуре трудово</w:t>
      </w:r>
      <w:r w:rsidR="00D96E90">
        <w:rPr>
          <w:rFonts w:eastAsiaTheme="minorHAnsi"/>
          <w:lang w:eastAsia="en-US"/>
        </w:rPr>
        <w:t>го потенциала населения в целом</w:t>
      </w:r>
      <w:r w:rsidR="0060369E" w:rsidRPr="00640C61">
        <w:rPr>
          <w:rFonts w:eastAsiaTheme="minorHAnsi"/>
          <w:lang w:eastAsia="en-US"/>
        </w:rPr>
        <w:t xml:space="preserve"> </w:t>
      </w:r>
      <w:r w:rsidR="00842A89">
        <w:rPr>
          <w:rFonts w:eastAsiaTheme="minorHAnsi"/>
          <w:lang w:eastAsia="en-US"/>
        </w:rPr>
        <w:t>[8</w:t>
      </w:r>
      <w:r w:rsidR="0060369E" w:rsidRPr="00D96E90">
        <w:rPr>
          <w:rFonts w:eastAsiaTheme="minorHAnsi"/>
          <w:lang w:eastAsia="en-US"/>
        </w:rPr>
        <w:t>].</w:t>
      </w:r>
      <w:r w:rsidRPr="00640C61">
        <w:rPr>
          <w:rFonts w:eastAsia="Calibri"/>
          <w:b/>
          <w:lang w:eastAsia="en-US"/>
        </w:rPr>
        <w:t xml:space="preserve"> </w:t>
      </w:r>
      <w:r w:rsidR="0060369E" w:rsidRPr="00640C61">
        <w:rPr>
          <w:rFonts w:eastAsia="Calibri"/>
          <w:b/>
          <w:lang w:eastAsia="en-US"/>
        </w:rPr>
        <w:t>«Готовность к реализации трудового потенциала»</w:t>
      </w:r>
      <w:r w:rsidR="0060369E" w:rsidRPr="00640C61">
        <w:rPr>
          <w:rFonts w:eastAsia="Calibri"/>
          <w:lang w:eastAsia="en-US"/>
        </w:rPr>
        <w:t xml:space="preserve"> – это результат включения ребенка в систему экономических отношений. </w:t>
      </w:r>
      <w:r w:rsidR="0060369E" w:rsidRPr="00640C61">
        <w:rPr>
          <w:rFonts w:eastAsiaTheme="minorHAnsi"/>
          <w:lang w:eastAsia="en-US"/>
        </w:rPr>
        <w:t xml:space="preserve">Принимая во внимание, что трудовой потенциал рассматривается как компонент человеческого </w:t>
      </w:r>
      <w:r w:rsidR="0060369E" w:rsidRPr="00D96E90">
        <w:rPr>
          <w:rFonts w:eastAsiaTheme="minorHAnsi"/>
          <w:color w:val="000000" w:themeColor="text1"/>
          <w:lang w:eastAsia="en-US"/>
        </w:rPr>
        <w:t>капитала</w:t>
      </w:r>
      <w:r w:rsidR="00931628" w:rsidRPr="00D96E90">
        <w:rPr>
          <w:rFonts w:eastAsiaTheme="minorHAnsi"/>
          <w:color w:val="000000" w:themeColor="text1"/>
          <w:lang w:eastAsia="en-US"/>
        </w:rPr>
        <w:t xml:space="preserve"> [</w:t>
      </w:r>
      <w:r w:rsidR="001D2261">
        <w:rPr>
          <w:rFonts w:eastAsiaTheme="minorHAnsi"/>
          <w:color w:val="000000" w:themeColor="text1"/>
          <w:lang w:eastAsia="en-US"/>
        </w:rPr>
        <w:t>6</w:t>
      </w:r>
      <w:r w:rsidR="0060369E" w:rsidRPr="00D96E90">
        <w:rPr>
          <w:rFonts w:eastAsiaTheme="minorHAnsi"/>
          <w:color w:val="000000" w:themeColor="text1"/>
          <w:lang w:eastAsia="en-US"/>
        </w:rPr>
        <w:t xml:space="preserve">], можем </w:t>
      </w:r>
      <w:r w:rsidR="0060369E" w:rsidRPr="00640C61">
        <w:rPr>
          <w:rFonts w:eastAsiaTheme="minorHAnsi"/>
          <w:lang w:eastAsia="en-US"/>
        </w:rPr>
        <w:t xml:space="preserve">предположить, что высокий уровень здоровья, образования, коммуникативной компетентности, является предпосылкой </w:t>
      </w:r>
      <w:r w:rsidR="0060369E" w:rsidRPr="00970117">
        <w:rPr>
          <w:rFonts w:eastAsiaTheme="minorHAnsi"/>
          <w:i/>
          <w:u w:val="single"/>
          <w:lang w:eastAsia="en-US"/>
        </w:rPr>
        <w:t>для эффективной реализации трудового потенциала.</w:t>
      </w:r>
      <w:r w:rsidR="00D45320" w:rsidRPr="00D45320">
        <w:rPr>
          <w:rFonts w:eastAsia="Calibri"/>
          <w:color w:val="FF0000"/>
          <w:u w:val="single"/>
          <w:lang w:eastAsia="en-US"/>
        </w:rPr>
        <w:t xml:space="preserve"> </w:t>
      </w:r>
      <w:r w:rsidR="0060369E" w:rsidRPr="00640C61">
        <w:rPr>
          <w:rFonts w:eastAsia="Calibri"/>
          <w:lang w:eastAsia="en-US"/>
        </w:rPr>
        <w:t>Это трудоустройство по выбранной профессии, соответствующей образованию, физическому, психологическому состоянию, способностям, профессиональным предпочтениям человека.</w:t>
      </w:r>
    </w:p>
    <w:p w:rsidR="0060369E" w:rsidRPr="00640C61" w:rsidRDefault="0060369E" w:rsidP="00970117">
      <w:pPr>
        <w:widowControl w:val="0"/>
        <w:autoSpaceDE w:val="0"/>
        <w:autoSpaceDN w:val="0"/>
        <w:adjustRightInd w:val="0"/>
        <w:ind w:firstLine="709"/>
        <w:jc w:val="both"/>
        <w:rPr>
          <w:rFonts w:eastAsia="Calibri"/>
          <w:lang w:eastAsia="en-US"/>
        </w:rPr>
      </w:pPr>
      <w:r w:rsidRPr="00640C61">
        <w:rPr>
          <w:rFonts w:eastAsia="Calibri"/>
          <w:lang w:eastAsia="en-US"/>
        </w:rPr>
        <w:t>Предложенная методика "Оценка готовности подростков 14-17 лет к реализации трудового потенциала», в которой используется социологический, медицинский, педагогический и психологический подходы, позволяет дать комплексное заключение о готовности детей данного возраста к профессиональной деятельности в будущем</w:t>
      </w:r>
      <w:r w:rsidR="001D2261" w:rsidRPr="001D2261">
        <w:rPr>
          <w:rFonts w:eastAsia="Calibri"/>
          <w:lang w:eastAsia="en-US"/>
        </w:rPr>
        <w:t xml:space="preserve"> </w:t>
      </w:r>
      <w:r w:rsidR="001D2261" w:rsidRPr="00842A89">
        <w:rPr>
          <w:rFonts w:eastAsia="Calibri"/>
          <w:lang w:eastAsia="en-US"/>
        </w:rPr>
        <w:t>[7</w:t>
      </w:r>
      <w:r w:rsidR="00974EE3" w:rsidRPr="00842A89">
        <w:rPr>
          <w:rFonts w:eastAsia="Calibri"/>
          <w:lang w:eastAsia="en-US"/>
        </w:rPr>
        <w:t>]</w:t>
      </w:r>
      <w:r w:rsidR="00CF11FB" w:rsidRPr="00842A89">
        <w:rPr>
          <w:rFonts w:eastAsia="Calibri"/>
          <w:lang w:eastAsia="en-US"/>
        </w:rPr>
        <w:t>.</w:t>
      </w:r>
      <w:r w:rsidRPr="00842A89">
        <w:rPr>
          <w:rFonts w:eastAsia="Calibri"/>
          <w:lang w:eastAsia="en-US"/>
        </w:rPr>
        <w:t xml:space="preserve"> </w:t>
      </w:r>
      <w:r w:rsidRPr="00640C61">
        <w:rPr>
          <w:rFonts w:eastAsia="Calibri"/>
          <w:lang w:eastAsia="en-US"/>
        </w:rPr>
        <w:t>Считаем, что она решает проблему частично, возможно использование не только этих, но и других подходов к изучению трудового потенциала детей.</w:t>
      </w:r>
      <w:r w:rsidR="00970117" w:rsidRPr="00640C61">
        <w:rPr>
          <w:rFonts w:eastAsia="Calibri"/>
          <w:lang w:eastAsia="en-US"/>
        </w:rPr>
        <w:t xml:space="preserve"> </w:t>
      </w:r>
      <w:r w:rsidR="00970117">
        <w:rPr>
          <w:rFonts w:eastAsia="Calibri"/>
          <w:lang w:eastAsia="en-US"/>
        </w:rPr>
        <w:t>Разработка методики предполагала</w:t>
      </w:r>
      <w:r w:rsidRPr="00640C61">
        <w:rPr>
          <w:rFonts w:eastAsia="Calibri"/>
          <w:lang w:eastAsia="en-US"/>
        </w:rPr>
        <w:t xml:space="preserve"> решение следующих задач:</w:t>
      </w:r>
    </w:p>
    <w:p w:rsidR="0060369E" w:rsidRPr="00640C61" w:rsidRDefault="0060369E" w:rsidP="0060369E">
      <w:pPr>
        <w:tabs>
          <w:tab w:val="left" w:pos="851"/>
          <w:tab w:val="left" w:pos="993"/>
        </w:tabs>
        <w:ind w:firstLine="709"/>
        <w:contextualSpacing/>
        <w:jc w:val="both"/>
        <w:rPr>
          <w:rFonts w:eastAsia="Calibri"/>
          <w:lang w:eastAsia="en-US"/>
        </w:rPr>
      </w:pPr>
      <w:r>
        <w:rPr>
          <w:rFonts w:eastAsia="Calibri"/>
          <w:lang w:eastAsia="en-US"/>
        </w:rPr>
        <w:t>1.</w:t>
      </w:r>
      <w:r w:rsidR="00970117">
        <w:rPr>
          <w:rFonts w:eastAsia="Calibri"/>
          <w:lang w:eastAsia="en-US"/>
        </w:rPr>
        <w:t xml:space="preserve"> </w:t>
      </w:r>
      <w:r w:rsidRPr="00640C61">
        <w:rPr>
          <w:rFonts w:eastAsia="Calibri"/>
          <w:lang w:eastAsia="en-US"/>
        </w:rPr>
        <w:t xml:space="preserve">Комплексная оценка </w:t>
      </w:r>
      <w:proofErr w:type="spellStart"/>
      <w:r w:rsidRPr="00640C61">
        <w:rPr>
          <w:rFonts w:eastAsia="Calibri"/>
          <w:lang w:eastAsia="en-US"/>
        </w:rPr>
        <w:t>сформированности</w:t>
      </w:r>
      <w:proofErr w:type="spellEnd"/>
      <w:r w:rsidRPr="00640C61">
        <w:rPr>
          <w:rFonts w:eastAsia="Calibri"/>
          <w:lang w:eastAsia="en-US"/>
        </w:rPr>
        <w:t xml:space="preserve"> профессионального самоопределения обучающихся в </w:t>
      </w:r>
      <w:proofErr w:type="spellStart"/>
      <w:r w:rsidRPr="00640C61">
        <w:rPr>
          <w:rFonts w:eastAsia="Calibri"/>
          <w:lang w:eastAsia="en-US"/>
        </w:rPr>
        <w:t>предвыпускных</w:t>
      </w:r>
      <w:proofErr w:type="spellEnd"/>
      <w:r w:rsidRPr="00640C61">
        <w:rPr>
          <w:rFonts w:eastAsia="Calibri"/>
          <w:lang w:eastAsia="en-US"/>
        </w:rPr>
        <w:t xml:space="preserve"> и выпускных классах общеобразовательных организаций. </w:t>
      </w:r>
    </w:p>
    <w:p w:rsidR="0060369E" w:rsidRPr="00640C61" w:rsidRDefault="0060369E" w:rsidP="0060369E">
      <w:pPr>
        <w:ind w:firstLine="709"/>
        <w:jc w:val="both"/>
        <w:rPr>
          <w:rFonts w:eastAsia="Calibri"/>
          <w:lang w:eastAsia="en-US"/>
        </w:rPr>
      </w:pPr>
      <w:r>
        <w:rPr>
          <w:rFonts w:eastAsia="Calibri"/>
          <w:lang w:eastAsia="en-US"/>
        </w:rPr>
        <w:lastRenderedPageBreak/>
        <w:t>2</w:t>
      </w:r>
      <w:r w:rsidRPr="00640C61">
        <w:rPr>
          <w:rFonts w:eastAsia="Calibri"/>
          <w:lang w:eastAsia="en-US"/>
        </w:rPr>
        <w:t>. Оценка уровня готовности подростков 14-17 лет к эффективной реализации трудового потенциала (интегральная оценка здоровья, образования и коммуникативных навыков подростков 14 – 17 лет).</w:t>
      </w:r>
    </w:p>
    <w:p w:rsidR="0060369E" w:rsidRPr="00640C61" w:rsidRDefault="0060369E" w:rsidP="0060369E">
      <w:pPr>
        <w:ind w:firstLine="709"/>
        <w:contextualSpacing/>
        <w:jc w:val="both"/>
        <w:rPr>
          <w:rFonts w:eastAsia="Calibri"/>
          <w:lang w:eastAsia="en-US"/>
        </w:rPr>
      </w:pPr>
      <w:r w:rsidRPr="00640C61">
        <w:rPr>
          <w:rFonts w:eastAsia="Calibri"/>
          <w:lang w:eastAsia="en-US"/>
        </w:rPr>
        <w:t>Для пересчёта в интегральную (процентную) шкалу применялся метод среднего арифметического. Формула оценки уровня готовности к реализации трудового потенциала приведена на слайде, а также градация и качественная характеристика уровней.</w:t>
      </w:r>
    </w:p>
    <w:p w:rsidR="0060369E" w:rsidRPr="00640C61" w:rsidRDefault="0060369E" w:rsidP="0060369E">
      <w:pPr>
        <w:ind w:firstLine="709"/>
        <w:jc w:val="both"/>
        <w:rPr>
          <w:lang w:eastAsia="en-US"/>
        </w:rPr>
      </w:pPr>
      <w:r w:rsidRPr="00640C61">
        <w:rPr>
          <w:lang w:eastAsia="en-US"/>
        </w:rPr>
        <w:tab/>
      </w:r>
      <w:r w:rsidRPr="00640C61">
        <w:rPr>
          <w:lang w:eastAsia="en-US"/>
        </w:rPr>
        <w:tab/>
      </w:r>
      <w:r w:rsidRPr="00640C61">
        <w:rPr>
          <w:lang w:eastAsia="en-US"/>
        </w:rPr>
        <w:tab/>
      </w:r>
      <m:oMath>
        <m:r>
          <w:rPr>
            <w:rFonts w:ascii="Cambria Math" w:eastAsia="Calibri" w:hAnsi="Cambria Math"/>
            <w:lang w:eastAsia="en-US"/>
          </w:rPr>
          <m:t>У=</m:t>
        </m:r>
        <m:f>
          <m:fPr>
            <m:ctrlPr>
              <w:rPr>
                <w:rFonts w:ascii="Cambria Math" w:eastAsia="Calibri" w:hAnsi="Cambria Math"/>
                <w:i/>
                <w:lang w:eastAsia="en-US"/>
              </w:rPr>
            </m:ctrlPr>
          </m:fPr>
          <m:num>
            <m:r>
              <w:rPr>
                <w:rFonts w:ascii="Cambria Math" w:eastAsia="Calibri" w:hAnsi="Cambria Math"/>
                <w:lang w:eastAsia="en-US"/>
              </w:rPr>
              <m:t>(З+О+КН)</m:t>
            </m:r>
          </m:num>
          <m:den>
            <m:r>
              <w:rPr>
                <w:rFonts w:ascii="Cambria Math" w:eastAsia="Calibri" w:hAnsi="Cambria Math"/>
                <w:lang w:eastAsia="en-US"/>
              </w:rPr>
              <m:t>75</m:t>
            </m:r>
          </m:den>
        </m:f>
        <m:r>
          <w:rPr>
            <w:rFonts w:ascii="Cambria Math" w:eastAsia="Calibri" w:hAnsi="Cambria Math"/>
            <w:lang w:eastAsia="en-US"/>
          </w:rPr>
          <m:t>*100%</m:t>
        </m:r>
      </m:oMath>
      <w:r w:rsidRPr="00640C61">
        <w:rPr>
          <w:lang w:eastAsia="en-US"/>
        </w:rPr>
        <w:t>,</w:t>
      </w:r>
      <w:r w:rsidRPr="00640C61">
        <w:rPr>
          <w:lang w:eastAsia="en-US"/>
        </w:rPr>
        <w:tab/>
      </w:r>
      <w:r w:rsidRPr="00640C61">
        <w:rPr>
          <w:lang w:eastAsia="en-US"/>
        </w:rPr>
        <w:tab/>
      </w:r>
      <w:r w:rsidRPr="00640C61">
        <w:rPr>
          <w:lang w:eastAsia="en-US"/>
        </w:rPr>
        <w:tab/>
      </w:r>
      <w:r w:rsidRPr="00640C61">
        <w:rPr>
          <w:lang w:eastAsia="en-US"/>
        </w:rPr>
        <w:tab/>
        <w:t>(1)</w:t>
      </w:r>
    </w:p>
    <w:p w:rsidR="0060369E" w:rsidRPr="00640C61" w:rsidRDefault="0060369E" w:rsidP="0060369E">
      <w:pPr>
        <w:ind w:firstLine="709"/>
        <w:jc w:val="both"/>
        <w:rPr>
          <w:lang w:eastAsia="en-US"/>
        </w:rPr>
      </w:pPr>
      <w:r w:rsidRPr="00640C61">
        <w:rPr>
          <w:lang w:eastAsia="en-US"/>
        </w:rPr>
        <w:t>где:</w:t>
      </w:r>
      <w:r w:rsidR="001F4E0D" w:rsidRPr="00640C61">
        <w:rPr>
          <w:lang w:eastAsia="en-US"/>
        </w:rPr>
        <w:t xml:space="preserve"> </w:t>
      </w:r>
      <w:r w:rsidRPr="00640C61">
        <w:rPr>
          <w:lang w:eastAsia="en-US"/>
        </w:rPr>
        <w:t xml:space="preserve">У – уровень готовности к реализации трудового потенциала; </w:t>
      </w:r>
      <w:proofErr w:type="gramStart"/>
      <w:r w:rsidRPr="00640C61">
        <w:rPr>
          <w:lang w:eastAsia="en-US"/>
        </w:rPr>
        <w:t>З</w:t>
      </w:r>
      <w:proofErr w:type="gramEnd"/>
      <w:r w:rsidRPr="00640C61">
        <w:rPr>
          <w:lang w:eastAsia="en-US"/>
        </w:rPr>
        <w:t xml:space="preserve"> – сумма баллов по блоку «Здоровье»; О – сумма баллов по блоку «Образование»; КН – сумма баллов по блоку «Коммуникативные навыки».</w:t>
      </w:r>
    </w:p>
    <w:p w:rsidR="0060369E" w:rsidRPr="0060369E" w:rsidRDefault="0060369E" w:rsidP="0060369E">
      <w:pPr>
        <w:ind w:firstLine="709"/>
        <w:jc w:val="both"/>
        <w:rPr>
          <w:lang w:eastAsia="en-US"/>
        </w:rPr>
      </w:pPr>
      <w:r w:rsidRPr="0060369E">
        <w:rPr>
          <w:lang w:eastAsia="en-US"/>
        </w:rPr>
        <w:t>Таблица</w:t>
      </w:r>
      <w:r w:rsidR="001D2261">
        <w:rPr>
          <w:lang w:eastAsia="en-US"/>
        </w:rPr>
        <w:t xml:space="preserve"> 1</w:t>
      </w:r>
      <w:r w:rsidRPr="0060369E">
        <w:rPr>
          <w:lang w:eastAsia="en-US"/>
        </w:rPr>
        <w:t xml:space="preserve">  – Уровни оценки готовности к реализации трудового потенциала</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419"/>
        <w:gridCol w:w="2543"/>
      </w:tblGrid>
      <w:tr w:rsidR="0060369E" w:rsidRPr="001D2261" w:rsidTr="00430F3C">
        <w:trPr>
          <w:trHeight w:val="291"/>
        </w:trPr>
        <w:tc>
          <w:tcPr>
            <w:tcW w:w="3685" w:type="dxa"/>
            <w:shd w:val="clear" w:color="auto" w:fill="auto"/>
            <w:noWrap/>
            <w:vAlign w:val="bottom"/>
            <w:hideMark/>
          </w:tcPr>
          <w:p w:rsidR="0060369E" w:rsidRPr="001D2261" w:rsidRDefault="0060369E" w:rsidP="001D2261">
            <w:pPr>
              <w:jc w:val="center"/>
              <w:rPr>
                <w:color w:val="000000" w:themeColor="text1"/>
              </w:rPr>
            </w:pPr>
            <w:r w:rsidRPr="001D2261">
              <w:rPr>
                <w:color w:val="000000" w:themeColor="text1"/>
              </w:rPr>
              <w:t>Уровень</w:t>
            </w:r>
          </w:p>
        </w:tc>
        <w:tc>
          <w:tcPr>
            <w:tcW w:w="2419" w:type="dxa"/>
            <w:shd w:val="clear" w:color="auto" w:fill="auto"/>
            <w:noWrap/>
            <w:vAlign w:val="bottom"/>
            <w:hideMark/>
          </w:tcPr>
          <w:p w:rsidR="0060369E" w:rsidRPr="001D2261" w:rsidRDefault="0060369E" w:rsidP="001D2261">
            <w:pPr>
              <w:jc w:val="center"/>
              <w:rPr>
                <w:color w:val="000000" w:themeColor="text1"/>
              </w:rPr>
            </w:pPr>
            <w:r w:rsidRPr="001D2261">
              <w:rPr>
                <w:color w:val="000000" w:themeColor="text1"/>
              </w:rPr>
              <w:t>Значение</w:t>
            </w:r>
          </w:p>
        </w:tc>
        <w:tc>
          <w:tcPr>
            <w:tcW w:w="2543" w:type="dxa"/>
            <w:shd w:val="clear" w:color="auto" w:fill="auto"/>
            <w:noWrap/>
            <w:vAlign w:val="bottom"/>
            <w:hideMark/>
          </w:tcPr>
          <w:p w:rsidR="0060369E" w:rsidRPr="001D2261" w:rsidRDefault="0060369E" w:rsidP="001D2261">
            <w:pPr>
              <w:jc w:val="center"/>
              <w:rPr>
                <w:color w:val="000000" w:themeColor="text1"/>
              </w:rPr>
            </w:pPr>
            <w:r w:rsidRPr="001D2261">
              <w:rPr>
                <w:color w:val="000000" w:themeColor="text1"/>
              </w:rPr>
              <w:t>Градация</w:t>
            </w:r>
          </w:p>
        </w:tc>
      </w:tr>
      <w:tr w:rsidR="0060369E" w:rsidRPr="001D2261" w:rsidTr="00430F3C">
        <w:trPr>
          <w:trHeight w:val="291"/>
        </w:trPr>
        <w:tc>
          <w:tcPr>
            <w:tcW w:w="3685" w:type="dxa"/>
            <w:shd w:val="clear" w:color="auto" w:fill="auto"/>
            <w:noWrap/>
            <w:vAlign w:val="bottom"/>
            <w:hideMark/>
          </w:tcPr>
          <w:p w:rsidR="0060369E" w:rsidRPr="001D2261" w:rsidRDefault="0060369E" w:rsidP="00430F3C">
            <w:pPr>
              <w:jc w:val="both"/>
              <w:rPr>
                <w:color w:val="000000" w:themeColor="text1"/>
              </w:rPr>
            </w:pPr>
            <w:r w:rsidRPr="001D2261">
              <w:rPr>
                <w:color w:val="000000" w:themeColor="text1"/>
              </w:rPr>
              <w:t>I</w:t>
            </w:r>
          </w:p>
        </w:tc>
        <w:tc>
          <w:tcPr>
            <w:tcW w:w="2419" w:type="dxa"/>
            <w:shd w:val="clear" w:color="auto" w:fill="auto"/>
            <w:noWrap/>
            <w:vAlign w:val="bottom"/>
            <w:hideMark/>
          </w:tcPr>
          <w:p w:rsidR="0060369E" w:rsidRPr="001D2261" w:rsidRDefault="0060369E" w:rsidP="001F4E0D">
            <w:pPr>
              <w:rPr>
                <w:color w:val="000000" w:themeColor="text1"/>
              </w:rPr>
            </w:pPr>
            <w:r w:rsidRPr="001D2261">
              <w:rPr>
                <w:color w:val="000000" w:themeColor="text1"/>
              </w:rPr>
              <w:t>Высокий</w:t>
            </w:r>
          </w:p>
        </w:tc>
        <w:tc>
          <w:tcPr>
            <w:tcW w:w="2543" w:type="dxa"/>
            <w:shd w:val="clear" w:color="auto" w:fill="auto"/>
            <w:noWrap/>
            <w:vAlign w:val="bottom"/>
            <w:hideMark/>
          </w:tcPr>
          <w:p w:rsidR="0060369E" w:rsidRPr="001D2261" w:rsidRDefault="0060369E" w:rsidP="001F4E0D">
            <w:pPr>
              <w:rPr>
                <w:color w:val="000000" w:themeColor="text1"/>
              </w:rPr>
            </w:pPr>
            <w:r w:rsidRPr="001D2261">
              <w:rPr>
                <w:color w:val="000000" w:themeColor="text1"/>
              </w:rPr>
              <w:t>81-100</w:t>
            </w:r>
          </w:p>
        </w:tc>
      </w:tr>
      <w:tr w:rsidR="0060369E" w:rsidRPr="001D2261" w:rsidTr="00430F3C">
        <w:trPr>
          <w:trHeight w:val="358"/>
        </w:trPr>
        <w:tc>
          <w:tcPr>
            <w:tcW w:w="3685" w:type="dxa"/>
            <w:shd w:val="clear" w:color="auto" w:fill="auto"/>
            <w:noWrap/>
            <w:vAlign w:val="bottom"/>
            <w:hideMark/>
          </w:tcPr>
          <w:p w:rsidR="0060369E" w:rsidRPr="001D2261" w:rsidRDefault="0060369E" w:rsidP="00430F3C">
            <w:pPr>
              <w:jc w:val="both"/>
              <w:rPr>
                <w:color w:val="000000" w:themeColor="text1"/>
              </w:rPr>
            </w:pPr>
            <w:r w:rsidRPr="001D2261">
              <w:rPr>
                <w:color w:val="000000" w:themeColor="text1"/>
              </w:rPr>
              <w:t>II</w:t>
            </w:r>
          </w:p>
        </w:tc>
        <w:tc>
          <w:tcPr>
            <w:tcW w:w="2419" w:type="dxa"/>
            <w:shd w:val="clear" w:color="auto" w:fill="auto"/>
            <w:noWrap/>
            <w:vAlign w:val="bottom"/>
            <w:hideMark/>
          </w:tcPr>
          <w:p w:rsidR="0060369E" w:rsidRPr="001D2261" w:rsidRDefault="0060369E" w:rsidP="001F4E0D">
            <w:pPr>
              <w:rPr>
                <w:color w:val="000000" w:themeColor="text1"/>
              </w:rPr>
            </w:pPr>
            <w:r w:rsidRPr="001D2261">
              <w:rPr>
                <w:color w:val="000000" w:themeColor="text1"/>
              </w:rPr>
              <w:t>Выше среднего</w:t>
            </w:r>
          </w:p>
        </w:tc>
        <w:tc>
          <w:tcPr>
            <w:tcW w:w="2543" w:type="dxa"/>
            <w:shd w:val="clear" w:color="auto" w:fill="auto"/>
            <w:noWrap/>
            <w:vAlign w:val="bottom"/>
            <w:hideMark/>
          </w:tcPr>
          <w:p w:rsidR="0060369E" w:rsidRPr="001D2261" w:rsidRDefault="0060369E" w:rsidP="001F4E0D">
            <w:pPr>
              <w:rPr>
                <w:color w:val="000000" w:themeColor="text1"/>
              </w:rPr>
            </w:pPr>
            <w:r w:rsidRPr="001D2261">
              <w:rPr>
                <w:color w:val="000000" w:themeColor="text1"/>
              </w:rPr>
              <w:t>61-80</w:t>
            </w:r>
          </w:p>
        </w:tc>
      </w:tr>
      <w:tr w:rsidR="0060369E" w:rsidRPr="001D2261" w:rsidTr="00430F3C">
        <w:trPr>
          <w:trHeight w:val="291"/>
        </w:trPr>
        <w:tc>
          <w:tcPr>
            <w:tcW w:w="3685" w:type="dxa"/>
            <w:shd w:val="clear" w:color="auto" w:fill="auto"/>
            <w:noWrap/>
            <w:vAlign w:val="bottom"/>
            <w:hideMark/>
          </w:tcPr>
          <w:p w:rsidR="0060369E" w:rsidRPr="001D2261" w:rsidRDefault="0060369E" w:rsidP="00430F3C">
            <w:pPr>
              <w:jc w:val="both"/>
              <w:rPr>
                <w:color w:val="000000" w:themeColor="text1"/>
              </w:rPr>
            </w:pPr>
            <w:r w:rsidRPr="001D2261">
              <w:rPr>
                <w:color w:val="000000" w:themeColor="text1"/>
              </w:rPr>
              <w:t>III</w:t>
            </w:r>
          </w:p>
        </w:tc>
        <w:tc>
          <w:tcPr>
            <w:tcW w:w="2419" w:type="dxa"/>
            <w:shd w:val="clear" w:color="auto" w:fill="auto"/>
            <w:noWrap/>
            <w:vAlign w:val="bottom"/>
            <w:hideMark/>
          </w:tcPr>
          <w:p w:rsidR="0060369E" w:rsidRPr="001D2261" w:rsidRDefault="0060369E" w:rsidP="001F4E0D">
            <w:pPr>
              <w:rPr>
                <w:color w:val="000000" w:themeColor="text1"/>
              </w:rPr>
            </w:pPr>
            <w:r w:rsidRPr="001D2261">
              <w:rPr>
                <w:color w:val="000000" w:themeColor="text1"/>
              </w:rPr>
              <w:t>Средний</w:t>
            </w:r>
          </w:p>
        </w:tc>
        <w:tc>
          <w:tcPr>
            <w:tcW w:w="2543" w:type="dxa"/>
            <w:shd w:val="clear" w:color="auto" w:fill="auto"/>
            <w:noWrap/>
            <w:vAlign w:val="bottom"/>
            <w:hideMark/>
          </w:tcPr>
          <w:p w:rsidR="0060369E" w:rsidRPr="001D2261" w:rsidRDefault="0060369E" w:rsidP="001F4E0D">
            <w:pPr>
              <w:rPr>
                <w:color w:val="000000" w:themeColor="text1"/>
              </w:rPr>
            </w:pPr>
            <w:r w:rsidRPr="001D2261">
              <w:rPr>
                <w:color w:val="000000" w:themeColor="text1"/>
              </w:rPr>
              <w:t>41-60</w:t>
            </w:r>
          </w:p>
        </w:tc>
      </w:tr>
      <w:tr w:rsidR="0060369E" w:rsidRPr="001D2261" w:rsidTr="00430F3C">
        <w:trPr>
          <w:trHeight w:val="291"/>
        </w:trPr>
        <w:tc>
          <w:tcPr>
            <w:tcW w:w="3685" w:type="dxa"/>
            <w:shd w:val="clear" w:color="auto" w:fill="auto"/>
            <w:noWrap/>
            <w:vAlign w:val="bottom"/>
            <w:hideMark/>
          </w:tcPr>
          <w:p w:rsidR="0060369E" w:rsidRPr="001D2261" w:rsidRDefault="0060369E" w:rsidP="00430F3C">
            <w:pPr>
              <w:jc w:val="both"/>
              <w:rPr>
                <w:color w:val="000000" w:themeColor="text1"/>
              </w:rPr>
            </w:pPr>
            <w:r w:rsidRPr="001D2261">
              <w:rPr>
                <w:color w:val="000000" w:themeColor="text1"/>
              </w:rPr>
              <w:t>IV</w:t>
            </w:r>
          </w:p>
        </w:tc>
        <w:tc>
          <w:tcPr>
            <w:tcW w:w="2419" w:type="dxa"/>
            <w:shd w:val="clear" w:color="auto" w:fill="auto"/>
            <w:noWrap/>
            <w:vAlign w:val="bottom"/>
            <w:hideMark/>
          </w:tcPr>
          <w:p w:rsidR="0060369E" w:rsidRPr="001D2261" w:rsidRDefault="0060369E" w:rsidP="001F4E0D">
            <w:pPr>
              <w:rPr>
                <w:color w:val="000000" w:themeColor="text1"/>
              </w:rPr>
            </w:pPr>
            <w:r w:rsidRPr="001D2261">
              <w:rPr>
                <w:color w:val="000000" w:themeColor="text1"/>
              </w:rPr>
              <w:t>Ниже среднего</w:t>
            </w:r>
          </w:p>
        </w:tc>
        <w:tc>
          <w:tcPr>
            <w:tcW w:w="2543" w:type="dxa"/>
            <w:shd w:val="clear" w:color="auto" w:fill="auto"/>
            <w:noWrap/>
            <w:vAlign w:val="bottom"/>
            <w:hideMark/>
          </w:tcPr>
          <w:p w:rsidR="0060369E" w:rsidRPr="001D2261" w:rsidRDefault="0060369E" w:rsidP="001F4E0D">
            <w:pPr>
              <w:rPr>
                <w:color w:val="000000" w:themeColor="text1"/>
              </w:rPr>
            </w:pPr>
            <w:r w:rsidRPr="001D2261">
              <w:rPr>
                <w:color w:val="000000" w:themeColor="text1"/>
              </w:rPr>
              <w:t>20-40</w:t>
            </w:r>
          </w:p>
        </w:tc>
      </w:tr>
    </w:tbl>
    <w:p w:rsidR="0060369E" w:rsidRPr="00640C61" w:rsidRDefault="0060369E" w:rsidP="0060369E">
      <w:pPr>
        <w:ind w:firstLine="709"/>
        <w:jc w:val="both"/>
        <w:rPr>
          <w:rFonts w:eastAsia="Calibri"/>
          <w:sz w:val="16"/>
          <w:szCs w:val="16"/>
          <w:lang w:eastAsia="en-US"/>
        </w:rPr>
      </w:pPr>
    </w:p>
    <w:p w:rsidR="00C85DCE" w:rsidRPr="00640C61" w:rsidRDefault="00C85DCE" w:rsidP="00640C61">
      <w:pPr>
        <w:ind w:firstLine="709"/>
        <w:jc w:val="both"/>
        <w:rPr>
          <w:rFonts w:eastAsia="Calibri"/>
          <w:lang w:eastAsia="en-US"/>
        </w:rPr>
      </w:pPr>
      <w:r w:rsidRPr="00640C61">
        <w:rPr>
          <w:rFonts w:eastAsia="Calibri"/>
          <w:lang w:eastAsia="en-US"/>
        </w:rPr>
        <w:t>Результаты исследования позволяют сделать следующие выводы:</w:t>
      </w:r>
    </w:p>
    <w:p w:rsidR="00C85DCE" w:rsidRDefault="00C85DCE" w:rsidP="00640C61">
      <w:pPr>
        <w:ind w:firstLine="709"/>
        <w:jc w:val="both"/>
        <w:rPr>
          <w:rFonts w:eastAsia="Calibri"/>
          <w:b/>
          <w:lang w:eastAsia="en-US"/>
        </w:rPr>
      </w:pPr>
      <w:r w:rsidRPr="00640C61">
        <w:rPr>
          <w:rFonts w:eastAsia="Calibri"/>
          <w:lang w:eastAsia="en-US"/>
        </w:rPr>
        <w:t>Для будущей трудовой деятельности важен осознанный выбор профильных учебных предметов, особенно в 9–11 классах.</w:t>
      </w:r>
      <w:r w:rsidR="001F4E0D">
        <w:rPr>
          <w:rFonts w:eastAsia="Calibri"/>
          <w:lang w:eastAsia="en-US"/>
        </w:rPr>
        <w:t xml:space="preserve"> Получено</w:t>
      </w:r>
      <w:r w:rsidRPr="00640C61">
        <w:rPr>
          <w:rFonts w:eastAsia="Calibri"/>
          <w:lang w:eastAsia="en-US"/>
        </w:rPr>
        <w:t xml:space="preserve">, что для старшеклассников наиболее востребованы гуманитарные науки (42%), физико-математические и </w:t>
      </w:r>
      <w:r w:rsidRPr="00640C61">
        <w:rPr>
          <w:rFonts w:eastAsia="Calibri"/>
          <w:color w:val="000000"/>
          <w:lang w:eastAsia="en-US"/>
        </w:rPr>
        <w:t xml:space="preserve">филологические (36 и 34%), </w:t>
      </w:r>
      <w:proofErr w:type="gramStart"/>
      <w:r w:rsidRPr="00640C61">
        <w:rPr>
          <w:rFonts w:eastAsia="Calibri"/>
          <w:color w:val="000000"/>
          <w:lang w:eastAsia="en-US"/>
        </w:rPr>
        <w:t>естественно-научные</w:t>
      </w:r>
      <w:proofErr w:type="gramEnd"/>
      <w:r w:rsidRPr="00640C61">
        <w:rPr>
          <w:rFonts w:eastAsia="Calibri"/>
          <w:color w:val="000000"/>
          <w:lang w:eastAsia="en-US"/>
        </w:rPr>
        <w:t xml:space="preserve"> и искусство </w:t>
      </w:r>
      <w:r w:rsidRPr="00640C61">
        <w:rPr>
          <w:rFonts w:eastAsia="Calibri"/>
          <w:lang w:eastAsia="en-US"/>
        </w:rPr>
        <w:t>(31 и 22%), информационные технологии (21%). Далее по рейтингу – физкультура и трудовое обучение (19 и 18%). Меньше всего предпочтений подростки отдают изучению экономики (15%) Можно отметить значимые различия показателей для юношей и девушек</w:t>
      </w:r>
      <w:r w:rsidRPr="00640C61">
        <w:rPr>
          <w:rFonts w:eastAsia="Calibri"/>
          <w:b/>
          <w:lang w:eastAsia="en-US"/>
        </w:rPr>
        <w:t>.</w:t>
      </w:r>
    </w:p>
    <w:p w:rsidR="00C85DCE" w:rsidRPr="00640C61" w:rsidRDefault="00C85DCE" w:rsidP="00640C61">
      <w:pPr>
        <w:ind w:firstLine="709"/>
        <w:jc w:val="both"/>
        <w:rPr>
          <w:rFonts w:eastAsia="Calibri"/>
          <w:lang w:eastAsia="en-US"/>
        </w:rPr>
      </w:pPr>
      <w:r w:rsidRPr="00640C61">
        <w:rPr>
          <w:rFonts w:eastAsia="Calibri"/>
          <w:lang w:eastAsia="en-US"/>
        </w:rPr>
        <w:t xml:space="preserve">Наиболее важным для учеников 9-11 классов является получение высшего образования (60%), на втором месте – среднего (38,0%), из них 17,5% хотели бы освоить рабочие специальности. </w:t>
      </w:r>
      <w:r w:rsidRPr="00640C61">
        <w:rPr>
          <w:rFonts w:eastAsia="Calibri"/>
          <w:color w:val="000000"/>
          <w:lang w:eastAsia="en-US"/>
        </w:rPr>
        <w:t xml:space="preserve">По данным </w:t>
      </w:r>
      <w:r w:rsidRPr="00640C61">
        <w:rPr>
          <w:rFonts w:eastAsia="Calibri"/>
          <w:lang w:eastAsia="en-US"/>
        </w:rPr>
        <w:t>опроса только треть (29%) детей знают, какую профессию хотели получить; не определились – 37%, сомневаются в своем выборе еще 36%</w:t>
      </w:r>
      <w:r w:rsidR="00640C61">
        <w:rPr>
          <w:rFonts w:eastAsia="Calibri"/>
          <w:lang w:eastAsia="en-US"/>
        </w:rPr>
        <w:t>.</w:t>
      </w:r>
      <w:r w:rsidRPr="00640C61">
        <w:rPr>
          <w:rFonts w:eastAsia="Calibri"/>
          <w:lang w:eastAsia="en-US"/>
        </w:rPr>
        <w:t xml:space="preserve"> </w:t>
      </w:r>
    </w:p>
    <w:p w:rsidR="00C85DCE" w:rsidRPr="00640C61" w:rsidRDefault="00C85DCE" w:rsidP="00640C61">
      <w:pPr>
        <w:ind w:firstLine="709"/>
        <w:jc w:val="both"/>
        <w:rPr>
          <w:rFonts w:eastAsia="Calibri"/>
          <w:lang w:eastAsia="en-US"/>
        </w:rPr>
      </w:pPr>
      <w:r w:rsidRPr="00640C61">
        <w:rPr>
          <w:rFonts w:eastAsia="Calibri"/>
          <w:lang w:eastAsia="en-US"/>
        </w:rPr>
        <w:t xml:space="preserve">Всего две трети детей владеют информацией об образовательных организациях среднего и высшего профессионального образования. Не имеют данных – 13%, что позволяет сделать вывод о недостаточно организованной </w:t>
      </w:r>
      <w:proofErr w:type="spellStart"/>
      <w:r w:rsidRPr="00640C61">
        <w:rPr>
          <w:rFonts w:eastAsia="Calibri"/>
          <w:lang w:eastAsia="en-US"/>
        </w:rPr>
        <w:t>профориентационной</w:t>
      </w:r>
      <w:proofErr w:type="spellEnd"/>
      <w:r w:rsidRPr="00640C61">
        <w:rPr>
          <w:rFonts w:eastAsia="Calibri"/>
          <w:lang w:eastAsia="en-US"/>
        </w:rPr>
        <w:t xml:space="preserve"> работе в </w:t>
      </w:r>
      <w:r w:rsidR="003127C9">
        <w:rPr>
          <w:rFonts w:eastAsia="Calibri"/>
          <w:lang w:eastAsia="en-US"/>
        </w:rPr>
        <w:t xml:space="preserve">школах </w:t>
      </w:r>
      <w:r w:rsidR="00970117">
        <w:rPr>
          <w:rFonts w:eastAsia="Calibri"/>
          <w:lang w:eastAsia="en-US"/>
        </w:rPr>
        <w:t xml:space="preserve">области. </w:t>
      </w:r>
      <w:r w:rsidRPr="00640C61">
        <w:rPr>
          <w:rFonts w:eastAsia="Calibri"/>
          <w:lang w:eastAsia="en-US"/>
        </w:rPr>
        <w:t>Отметим, что д</w:t>
      </w:r>
      <w:r w:rsidR="00640C61">
        <w:rPr>
          <w:rFonts w:eastAsia="Calibri"/>
          <w:lang w:eastAsia="en-US"/>
        </w:rPr>
        <w:t>евушки более осведомлены</w:t>
      </w:r>
      <w:r w:rsidRPr="00640C61">
        <w:rPr>
          <w:rFonts w:eastAsia="Calibri"/>
          <w:lang w:eastAsia="en-US"/>
        </w:rPr>
        <w:t>,</w:t>
      </w:r>
      <w:r w:rsidR="0060369E">
        <w:rPr>
          <w:rFonts w:eastAsia="Calibri"/>
          <w:lang w:eastAsia="en-US"/>
        </w:rPr>
        <w:t xml:space="preserve"> </w:t>
      </w:r>
      <w:r w:rsidRPr="00640C61">
        <w:rPr>
          <w:rFonts w:eastAsia="Calibri"/>
          <w:lang w:eastAsia="en-US"/>
        </w:rPr>
        <w:t>чем юноши.</w:t>
      </w:r>
    </w:p>
    <w:p w:rsidR="00C85DCE" w:rsidRPr="00640C61" w:rsidRDefault="00C85DCE" w:rsidP="0060369E">
      <w:pPr>
        <w:ind w:firstLine="709"/>
        <w:jc w:val="both"/>
        <w:rPr>
          <w:rFonts w:eastAsia="Calibri"/>
          <w:color w:val="000000"/>
          <w:lang w:eastAsia="en-US"/>
        </w:rPr>
      </w:pPr>
      <w:r w:rsidRPr="00640C61">
        <w:rPr>
          <w:rFonts w:eastAsia="Calibri"/>
          <w:lang w:eastAsia="en-US"/>
        </w:rPr>
        <w:t xml:space="preserve">Более значимыми для подготовки к будущей трудовой деятельности дети назвали такие личностные характеристики, как: общительность (70%), эмоциональная устойчивость, устойчивость внимания (по 67%), наблюдательность (63%), развитость функциональных анализаторных и организаторских способностей (53% и 50%), яркое воображение (48%). </w:t>
      </w:r>
      <w:r w:rsidRPr="00640C61">
        <w:rPr>
          <w:rFonts w:eastAsia="Calibri"/>
          <w:color w:val="000000"/>
          <w:spacing w:val="-2"/>
          <w:lang w:eastAsia="en-US"/>
        </w:rPr>
        <w:t>Менее половины считают недостаточно важными: склонность к практическому труду, малоподвижной работе, технический склад мышления, способности к геометрии и физике</w:t>
      </w:r>
      <w:r w:rsidR="0060369E">
        <w:rPr>
          <w:rFonts w:eastAsia="Calibri"/>
          <w:color w:val="000000"/>
          <w:spacing w:val="-2"/>
          <w:lang w:eastAsia="en-US"/>
        </w:rPr>
        <w:t>.</w:t>
      </w:r>
      <w:r w:rsidRPr="00640C61">
        <w:rPr>
          <w:rFonts w:eastAsia="Calibri"/>
          <w:b/>
          <w:color w:val="000000"/>
          <w:spacing w:val="-2"/>
          <w:lang w:eastAsia="en-US"/>
        </w:rPr>
        <w:t xml:space="preserve"> </w:t>
      </w:r>
      <w:r w:rsidRPr="00640C61">
        <w:rPr>
          <w:rFonts w:eastAsia="Calibri"/>
          <w:color w:val="000000"/>
          <w:lang w:eastAsia="en-US"/>
        </w:rPr>
        <w:t>На основании этого можно сделать вывод о гуманитарной направленности профессиональных предпочтений подростков 14–17 лет данной выборки.</w:t>
      </w:r>
    </w:p>
    <w:p w:rsidR="00C85DCE" w:rsidRPr="00640C61" w:rsidRDefault="00C85DCE" w:rsidP="00640C61">
      <w:pPr>
        <w:ind w:firstLine="709"/>
        <w:jc w:val="both"/>
        <w:rPr>
          <w:rFonts w:eastAsia="Calibri"/>
          <w:lang w:eastAsia="en-US"/>
        </w:rPr>
      </w:pPr>
      <w:r w:rsidRPr="00640C61">
        <w:rPr>
          <w:rFonts w:eastAsia="Calibri"/>
          <w:lang w:eastAsia="en-US"/>
        </w:rPr>
        <w:t>Тем не менее, отметим, что мотивы профессионального выбора достаточно осознаны старшеклассниками, важно не только материальное благополучие и высокая заработная плата (33%), но и интерес (83%), перспектива карьерного роста (44%), возможность совершенствовать свои навыки и повы</w:t>
      </w:r>
      <w:r w:rsidR="00644B90">
        <w:rPr>
          <w:rFonts w:eastAsia="Calibri"/>
          <w:lang w:eastAsia="en-US"/>
        </w:rPr>
        <w:t>шать квалификацию (38%)</w:t>
      </w:r>
      <w:r w:rsidRPr="00640C61">
        <w:rPr>
          <w:rFonts w:eastAsia="Calibri"/>
          <w:lang w:eastAsia="en-US"/>
        </w:rPr>
        <w:t>.</w:t>
      </w:r>
    </w:p>
    <w:p w:rsidR="00C85DCE" w:rsidRPr="00640C61" w:rsidRDefault="00C85DCE" w:rsidP="00640C61">
      <w:pPr>
        <w:ind w:firstLine="709"/>
        <w:jc w:val="both"/>
        <w:rPr>
          <w:rFonts w:eastAsia="Calibri"/>
          <w:lang w:eastAsia="en-US"/>
        </w:rPr>
      </w:pPr>
      <w:r w:rsidRPr="00640C61">
        <w:rPr>
          <w:rFonts w:eastAsia="Calibri"/>
          <w:lang w:eastAsia="en-US"/>
        </w:rPr>
        <w:t xml:space="preserve">Большая доля опрошенных детей имеет уровень готовности к реализации трудового потенциала выше среднего – 66%, высокий – 33%. К «среднему» уровню относятся 3% респондентов, что составляет группу риска по реализации потенциала ребенка в будущем. Показательно, что юноши имеют более низкие показатели по </w:t>
      </w:r>
      <w:r w:rsidRPr="00640C61">
        <w:rPr>
          <w:rFonts w:eastAsia="Calibri"/>
          <w:lang w:eastAsia="en-US"/>
        </w:rPr>
        <w:lastRenderedPageBreak/>
        <w:t>сравнению с девушками. Уровень готовности к реализации трудового потенциала «ниже с</w:t>
      </w:r>
      <w:r w:rsidR="00C72130">
        <w:rPr>
          <w:rFonts w:eastAsia="Calibri"/>
          <w:lang w:eastAsia="en-US"/>
        </w:rPr>
        <w:t>реднего» не был выявлен (табл.</w:t>
      </w:r>
      <w:r w:rsidR="008F78F4">
        <w:rPr>
          <w:rFonts w:eastAsia="Calibri"/>
          <w:lang w:eastAsia="en-US"/>
        </w:rPr>
        <w:t>2</w:t>
      </w:r>
      <w:r w:rsidRPr="00640C61">
        <w:rPr>
          <w:rFonts w:eastAsia="Calibri"/>
          <w:lang w:eastAsia="en-US"/>
        </w:rPr>
        <w:t>).</w:t>
      </w:r>
    </w:p>
    <w:p w:rsidR="001D2261" w:rsidRDefault="0060369E" w:rsidP="001D2261">
      <w:pPr>
        <w:ind w:firstLine="709"/>
        <w:jc w:val="center"/>
        <w:rPr>
          <w:rFonts w:eastAsia="Calibri"/>
          <w:bCs/>
          <w:color w:val="000000"/>
          <w:lang w:eastAsia="en-US"/>
        </w:rPr>
      </w:pPr>
      <w:r>
        <w:t>Таблица</w:t>
      </w:r>
      <w:r w:rsidR="001D2261">
        <w:t xml:space="preserve"> 2</w:t>
      </w:r>
      <w:r w:rsidR="00C85DCE" w:rsidRPr="00640C61">
        <w:t xml:space="preserve"> –</w:t>
      </w:r>
      <w:r w:rsidR="00C85DCE" w:rsidRPr="00640C61">
        <w:rPr>
          <w:rFonts w:eastAsia="Calibri"/>
        </w:rPr>
        <w:t xml:space="preserve"> Показатели </w:t>
      </w:r>
      <w:r w:rsidR="00C85DCE" w:rsidRPr="00640C61">
        <w:rPr>
          <w:rFonts w:eastAsia="Calibri"/>
          <w:bCs/>
          <w:color w:val="000000"/>
          <w:lang w:eastAsia="en-US"/>
        </w:rPr>
        <w:t>уровней готовности к реализации трудового потенциала</w:t>
      </w:r>
    </w:p>
    <w:p w:rsidR="00C85DCE" w:rsidRPr="00640C61" w:rsidRDefault="00C85DCE" w:rsidP="001D2261">
      <w:pPr>
        <w:ind w:firstLine="709"/>
        <w:jc w:val="center"/>
      </w:pPr>
      <w:r w:rsidRPr="00640C61">
        <w:rPr>
          <w:rFonts w:eastAsia="Calibri"/>
        </w:rPr>
        <w:t xml:space="preserve"> (в % от числа </w:t>
      </w:r>
      <w:proofErr w:type="gramStart"/>
      <w:r w:rsidRPr="00640C61">
        <w:rPr>
          <w:rFonts w:eastAsia="Calibri"/>
        </w:rPr>
        <w:t>опрошенных</w:t>
      </w:r>
      <w:proofErr w:type="gramEnd"/>
      <w:r w:rsidRPr="00640C61">
        <w:rPr>
          <w:rFonts w:eastAsia="Calibri"/>
        </w:rPr>
        <w:t>)</w:t>
      </w:r>
    </w:p>
    <w:tbl>
      <w:tblPr>
        <w:tblW w:w="494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4"/>
        <w:gridCol w:w="2146"/>
        <w:gridCol w:w="2146"/>
        <w:gridCol w:w="1688"/>
      </w:tblGrid>
      <w:tr w:rsidR="00C85DCE" w:rsidRPr="001D2261" w:rsidTr="001D2261">
        <w:trPr>
          <w:jc w:val="center"/>
        </w:trPr>
        <w:tc>
          <w:tcPr>
            <w:tcW w:w="1840" w:type="pct"/>
            <w:vMerge w:val="restart"/>
            <w:tcBorders>
              <w:top w:val="single" w:sz="4" w:space="0" w:color="auto"/>
              <w:left w:val="single" w:sz="4" w:space="0" w:color="auto"/>
              <w:bottom w:val="single" w:sz="4" w:space="0" w:color="auto"/>
              <w:right w:val="single" w:sz="4" w:space="0" w:color="auto"/>
            </w:tcBorders>
            <w:vAlign w:val="center"/>
            <w:hideMark/>
          </w:tcPr>
          <w:p w:rsidR="00C85DCE" w:rsidRPr="001D2261" w:rsidRDefault="00C85DCE" w:rsidP="00640C61">
            <w:pPr>
              <w:ind w:firstLine="709"/>
              <w:jc w:val="both"/>
              <w:rPr>
                <w:rFonts w:eastAsia="Calibri"/>
                <w:lang w:eastAsia="en-US"/>
              </w:rPr>
            </w:pPr>
            <w:r w:rsidRPr="001D2261">
              <w:rPr>
                <w:rFonts w:eastAsia="Calibri"/>
                <w:lang w:eastAsia="en-US"/>
              </w:rPr>
              <w:t>Уровень готовности</w:t>
            </w:r>
          </w:p>
        </w:tc>
        <w:tc>
          <w:tcPr>
            <w:tcW w:w="2268" w:type="pct"/>
            <w:gridSpan w:val="2"/>
            <w:tcBorders>
              <w:top w:val="single" w:sz="4" w:space="0" w:color="auto"/>
              <w:left w:val="single" w:sz="4" w:space="0" w:color="auto"/>
              <w:bottom w:val="single" w:sz="4" w:space="0" w:color="auto"/>
              <w:right w:val="single" w:sz="4" w:space="0" w:color="auto"/>
            </w:tcBorders>
            <w:hideMark/>
          </w:tcPr>
          <w:p w:rsidR="00C85DCE" w:rsidRPr="001D2261" w:rsidRDefault="00C85DCE" w:rsidP="008F78F4">
            <w:pPr>
              <w:ind w:firstLine="709"/>
              <w:jc w:val="center"/>
              <w:rPr>
                <w:rFonts w:eastAsia="Calibri"/>
                <w:lang w:eastAsia="en-US"/>
              </w:rPr>
            </w:pPr>
            <w:r w:rsidRPr="001D2261">
              <w:rPr>
                <w:rFonts w:eastAsia="Calibri"/>
                <w:lang w:eastAsia="en-US"/>
              </w:rPr>
              <w:t>Пол</w:t>
            </w:r>
          </w:p>
        </w:tc>
        <w:tc>
          <w:tcPr>
            <w:tcW w:w="892" w:type="pct"/>
            <w:vMerge w:val="restart"/>
            <w:tcBorders>
              <w:top w:val="single" w:sz="4" w:space="0" w:color="auto"/>
              <w:left w:val="single" w:sz="4" w:space="0" w:color="auto"/>
              <w:bottom w:val="single" w:sz="6" w:space="0" w:color="auto"/>
              <w:right w:val="single" w:sz="4" w:space="0" w:color="auto"/>
            </w:tcBorders>
            <w:vAlign w:val="center"/>
            <w:hideMark/>
          </w:tcPr>
          <w:p w:rsidR="00C85DCE" w:rsidRPr="008F78F4" w:rsidRDefault="008F78F4" w:rsidP="008F78F4">
            <w:pPr>
              <w:jc w:val="both"/>
              <w:rPr>
                <w:rFonts w:eastAsia="Calibri"/>
                <w:lang w:eastAsia="en-US"/>
              </w:rPr>
            </w:pPr>
            <w:r w:rsidRPr="008F78F4">
              <w:rPr>
                <w:rFonts w:eastAsia="Calibri"/>
                <w:lang w:eastAsia="en-US"/>
              </w:rPr>
              <w:t xml:space="preserve">В </w:t>
            </w:r>
            <w:r w:rsidR="00C85DCE" w:rsidRPr="008F78F4">
              <w:rPr>
                <w:rFonts w:eastAsia="Calibri"/>
                <w:lang w:eastAsia="en-US"/>
              </w:rPr>
              <w:t>среднем</w:t>
            </w:r>
          </w:p>
        </w:tc>
      </w:tr>
      <w:tr w:rsidR="00C85DCE" w:rsidRPr="001D2261" w:rsidTr="001D2261">
        <w:trPr>
          <w:jc w:val="center"/>
        </w:trPr>
        <w:tc>
          <w:tcPr>
            <w:tcW w:w="1840" w:type="pct"/>
            <w:vMerge/>
            <w:tcBorders>
              <w:top w:val="single" w:sz="4" w:space="0" w:color="auto"/>
              <w:left w:val="single" w:sz="4" w:space="0" w:color="auto"/>
              <w:bottom w:val="single" w:sz="4" w:space="0" w:color="auto"/>
              <w:right w:val="single" w:sz="4" w:space="0" w:color="auto"/>
            </w:tcBorders>
            <w:vAlign w:val="center"/>
            <w:hideMark/>
          </w:tcPr>
          <w:p w:rsidR="00C85DCE" w:rsidRPr="001D2261" w:rsidRDefault="00C85DCE" w:rsidP="00640C61">
            <w:pPr>
              <w:ind w:firstLine="709"/>
              <w:jc w:val="both"/>
              <w:rPr>
                <w:rFonts w:eastAsia="Calibri"/>
                <w:lang w:eastAsia="en-US"/>
              </w:rPr>
            </w:pPr>
          </w:p>
        </w:tc>
        <w:tc>
          <w:tcPr>
            <w:tcW w:w="1134" w:type="pct"/>
            <w:tcBorders>
              <w:top w:val="single" w:sz="6" w:space="0" w:color="auto"/>
              <w:left w:val="single" w:sz="6" w:space="0" w:color="auto"/>
              <w:bottom w:val="single" w:sz="6" w:space="0" w:color="auto"/>
              <w:right w:val="single" w:sz="6" w:space="0" w:color="auto"/>
            </w:tcBorders>
            <w:vAlign w:val="center"/>
            <w:hideMark/>
          </w:tcPr>
          <w:p w:rsidR="00C85DCE" w:rsidRPr="001D2261" w:rsidRDefault="00C85DCE" w:rsidP="008F78F4">
            <w:pPr>
              <w:autoSpaceDE w:val="0"/>
              <w:autoSpaceDN w:val="0"/>
              <w:adjustRightInd w:val="0"/>
              <w:ind w:firstLine="709"/>
              <w:jc w:val="center"/>
              <w:rPr>
                <w:rFonts w:eastAsia="Calibri"/>
                <w:color w:val="000000"/>
                <w:spacing w:val="-2"/>
                <w:lang w:eastAsia="en-US"/>
              </w:rPr>
            </w:pPr>
            <w:r w:rsidRPr="001D2261">
              <w:rPr>
                <w:rFonts w:eastAsia="Calibri"/>
                <w:color w:val="000000"/>
                <w:spacing w:val="-2"/>
                <w:lang w:eastAsia="en-US"/>
              </w:rPr>
              <w:t>Юноши</w:t>
            </w:r>
          </w:p>
        </w:tc>
        <w:tc>
          <w:tcPr>
            <w:tcW w:w="1134" w:type="pct"/>
            <w:tcBorders>
              <w:top w:val="single" w:sz="6" w:space="0" w:color="auto"/>
              <w:left w:val="single" w:sz="6" w:space="0" w:color="auto"/>
              <w:bottom w:val="single" w:sz="6" w:space="0" w:color="auto"/>
              <w:right w:val="single" w:sz="4" w:space="0" w:color="auto"/>
            </w:tcBorders>
            <w:vAlign w:val="center"/>
            <w:hideMark/>
          </w:tcPr>
          <w:p w:rsidR="00C85DCE" w:rsidRPr="001D2261" w:rsidRDefault="00C85DCE" w:rsidP="008F78F4">
            <w:pPr>
              <w:autoSpaceDE w:val="0"/>
              <w:autoSpaceDN w:val="0"/>
              <w:adjustRightInd w:val="0"/>
              <w:ind w:firstLine="709"/>
              <w:jc w:val="center"/>
              <w:rPr>
                <w:rFonts w:eastAsia="Calibri"/>
                <w:color w:val="000000"/>
                <w:spacing w:val="-2"/>
                <w:lang w:eastAsia="en-US"/>
              </w:rPr>
            </w:pPr>
            <w:r w:rsidRPr="001D2261">
              <w:rPr>
                <w:rFonts w:eastAsia="Calibri"/>
                <w:color w:val="000000"/>
                <w:spacing w:val="-2"/>
                <w:lang w:eastAsia="en-US"/>
              </w:rPr>
              <w:t>Девушки</w:t>
            </w:r>
          </w:p>
        </w:tc>
        <w:tc>
          <w:tcPr>
            <w:tcW w:w="892" w:type="pct"/>
            <w:vMerge/>
            <w:tcBorders>
              <w:top w:val="single" w:sz="4" w:space="0" w:color="auto"/>
              <w:left w:val="single" w:sz="4" w:space="0" w:color="auto"/>
              <w:bottom w:val="single" w:sz="6" w:space="0" w:color="auto"/>
              <w:right w:val="single" w:sz="4" w:space="0" w:color="auto"/>
            </w:tcBorders>
            <w:vAlign w:val="center"/>
            <w:hideMark/>
          </w:tcPr>
          <w:p w:rsidR="00C85DCE" w:rsidRPr="001D2261" w:rsidRDefault="00C85DCE" w:rsidP="00640C61">
            <w:pPr>
              <w:ind w:firstLine="709"/>
              <w:jc w:val="both"/>
              <w:rPr>
                <w:rFonts w:eastAsia="Calibri"/>
                <w:lang w:eastAsia="en-US"/>
              </w:rPr>
            </w:pPr>
          </w:p>
        </w:tc>
      </w:tr>
      <w:tr w:rsidR="00C85DCE" w:rsidRPr="001D2261" w:rsidTr="001D2261">
        <w:trPr>
          <w:jc w:val="center"/>
        </w:trPr>
        <w:tc>
          <w:tcPr>
            <w:tcW w:w="1840" w:type="pct"/>
            <w:tcBorders>
              <w:top w:val="single" w:sz="4" w:space="0" w:color="auto"/>
              <w:left w:val="single" w:sz="4" w:space="0" w:color="auto"/>
              <w:bottom w:val="single" w:sz="4" w:space="0" w:color="auto"/>
              <w:right w:val="single" w:sz="4" w:space="0" w:color="auto"/>
            </w:tcBorders>
            <w:vAlign w:val="center"/>
            <w:hideMark/>
          </w:tcPr>
          <w:p w:rsidR="00C85DCE" w:rsidRPr="001D2261" w:rsidRDefault="00C85DCE" w:rsidP="001D2261">
            <w:pPr>
              <w:autoSpaceDE w:val="0"/>
              <w:autoSpaceDN w:val="0"/>
              <w:adjustRightInd w:val="0"/>
              <w:rPr>
                <w:rFonts w:eastAsia="Calibri"/>
                <w:color w:val="000000"/>
                <w:lang w:eastAsia="en-US"/>
              </w:rPr>
            </w:pPr>
            <w:r w:rsidRPr="001D2261">
              <w:rPr>
                <w:rFonts w:eastAsia="Calibri"/>
                <w:color w:val="000000"/>
                <w:lang w:eastAsia="en-US"/>
              </w:rPr>
              <w:t>Высокий (81…100)</w:t>
            </w:r>
          </w:p>
        </w:tc>
        <w:tc>
          <w:tcPr>
            <w:tcW w:w="1134" w:type="pct"/>
            <w:tcBorders>
              <w:top w:val="single" w:sz="4" w:space="0" w:color="auto"/>
              <w:left w:val="single" w:sz="4" w:space="0" w:color="auto"/>
              <w:bottom w:val="single" w:sz="4" w:space="0" w:color="auto"/>
              <w:right w:val="single" w:sz="4" w:space="0" w:color="auto"/>
            </w:tcBorders>
          </w:tcPr>
          <w:p w:rsidR="00C85DCE" w:rsidRPr="001D2261" w:rsidRDefault="00C85DCE" w:rsidP="00640C61">
            <w:pPr>
              <w:ind w:firstLine="709"/>
              <w:jc w:val="both"/>
              <w:rPr>
                <w:rFonts w:eastAsiaTheme="minorHAnsi"/>
                <w:lang w:eastAsia="en-US"/>
              </w:rPr>
            </w:pPr>
            <w:r w:rsidRPr="001D2261">
              <w:rPr>
                <w:rFonts w:eastAsiaTheme="minorHAnsi"/>
                <w:lang w:eastAsia="en-US"/>
              </w:rPr>
              <w:t>24,6</w:t>
            </w:r>
          </w:p>
        </w:tc>
        <w:tc>
          <w:tcPr>
            <w:tcW w:w="1134" w:type="pct"/>
            <w:tcBorders>
              <w:top w:val="single" w:sz="4" w:space="0" w:color="auto"/>
              <w:left w:val="single" w:sz="4" w:space="0" w:color="auto"/>
              <w:bottom w:val="single" w:sz="4" w:space="0" w:color="auto"/>
              <w:right w:val="single" w:sz="4" w:space="0" w:color="auto"/>
            </w:tcBorders>
          </w:tcPr>
          <w:p w:rsidR="00C85DCE" w:rsidRPr="001D2261" w:rsidRDefault="00C85DCE" w:rsidP="00640C61">
            <w:pPr>
              <w:ind w:firstLine="709"/>
              <w:jc w:val="both"/>
              <w:rPr>
                <w:rFonts w:eastAsiaTheme="minorHAnsi"/>
                <w:lang w:eastAsia="en-US"/>
              </w:rPr>
            </w:pPr>
            <w:r w:rsidRPr="001D2261">
              <w:rPr>
                <w:rFonts w:eastAsiaTheme="minorHAnsi"/>
                <w:lang w:eastAsia="en-US"/>
              </w:rPr>
              <w:t>34,3</w:t>
            </w:r>
          </w:p>
        </w:tc>
        <w:tc>
          <w:tcPr>
            <w:tcW w:w="892" w:type="pct"/>
            <w:tcBorders>
              <w:top w:val="single" w:sz="4" w:space="0" w:color="auto"/>
              <w:left w:val="single" w:sz="4" w:space="0" w:color="auto"/>
              <w:bottom w:val="single" w:sz="4" w:space="0" w:color="auto"/>
              <w:right w:val="single" w:sz="4" w:space="0" w:color="auto"/>
            </w:tcBorders>
          </w:tcPr>
          <w:p w:rsidR="00C85DCE" w:rsidRPr="001D2261" w:rsidRDefault="00C85DCE" w:rsidP="00640C61">
            <w:pPr>
              <w:ind w:firstLine="709"/>
              <w:jc w:val="both"/>
              <w:rPr>
                <w:rFonts w:eastAsiaTheme="minorHAnsi"/>
                <w:lang w:eastAsia="en-US"/>
              </w:rPr>
            </w:pPr>
            <w:r w:rsidRPr="001D2261">
              <w:rPr>
                <w:rFonts w:eastAsiaTheme="minorHAnsi"/>
                <w:lang w:eastAsia="en-US"/>
              </w:rPr>
              <w:t>31,0</w:t>
            </w:r>
          </w:p>
        </w:tc>
      </w:tr>
      <w:tr w:rsidR="00C85DCE" w:rsidRPr="001D2261" w:rsidTr="001D2261">
        <w:trPr>
          <w:jc w:val="center"/>
        </w:trPr>
        <w:tc>
          <w:tcPr>
            <w:tcW w:w="1840" w:type="pct"/>
            <w:tcBorders>
              <w:top w:val="single" w:sz="4" w:space="0" w:color="auto"/>
              <w:left w:val="single" w:sz="4" w:space="0" w:color="auto"/>
              <w:bottom w:val="single" w:sz="4" w:space="0" w:color="auto"/>
              <w:right w:val="single" w:sz="4" w:space="0" w:color="auto"/>
            </w:tcBorders>
            <w:vAlign w:val="center"/>
            <w:hideMark/>
          </w:tcPr>
          <w:p w:rsidR="00C85DCE" w:rsidRPr="001D2261" w:rsidRDefault="00C85DCE" w:rsidP="001D2261">
            <w:pPr>
              <w:autoSpaceDE w:val="0"/>
              <w:autoSpaceDN w:val="0"/>
              <w:adjustRightInd w:val="0"/>
              <w:rPr>
                <w:rFonts w:eastAsia="Calibri"/>
                <w:color w:val="000000"/>
                <w:lang w:eastAsia="en-US"/>
              </w:rPr>
            </w:pPr>
            <w:r w:rsidRPr="001D2261">
              <w:rPr>
                <w:rFonts w:eastAsia="Calibri"/>
                <w:color w:val="000000"/>
                <w:lang w:eastAsia="en-US"/>
              </w:rPr>
              <w:t>Выше среднего (61…80)</w:t>
            </w:r>
          </w:p>
        </w:tc>
        <w:tc>
          <w:tcPr>
            <w:tcW w:w="1134" w:type="pct"/>
            <w:tcBorders>
              <w:top w:val="single" w:sz="4" w:space="0" w:color="auto"/>
              <w:left w:val="single" w:sz="4" w:space="0" w:color="auto"/>
              <w:bottom w:val="single" w:sz="4" w:space="0" w:color="auto"/>
              <w:right w:val="single" w:sz="4" w:space="0" w:color="auto"/>
            </w:tcBorders>
          </w:tcPr>
          <w:p w:rsidR="00C85DCE" w:rsidRPr="001D2261" w:rsidRDefault="00C85DCE" w:rsidP="00640C61">
            <w:pPr>
              <w:ind w:firstLine="709"/>
              <w:jc w:val="both"/>
              <w:rPr>
                <w:rFonts w:eastAsiaTheme="minorHAnsi"/>
                <w:lang w:eastAsia="en-US"/>
              </w:rPr>
            </w:pPr>
            <w:r w:rsidRPr="001D2261">
              <w:rPr>
                <w:rFonts w:eastAsiaTheme="minorHAnsi"/>
                <w:lang w:eastAsia="en-US"/>
              </w:rPr>
              <w:t>69,6</w:t>
            </w:r>
          </w:p>
        </w:tc>
        <w:tc>
          <w:tcPr>
            <w:tcW w:w="1134" w:type="pct"/>
            <w:tcBorders>
              <w:top w:val="single" w:sz="4" w:space="0" w:color="auto"/>
              <w:left w:val="single" w:sz="4" w:space="0" w:color="auto"/>
              <w:bottom w:val="single" w:sz="4" w:space="0" w:color="auto"/>
              <w:right w:val="single" w:sz="4" w:space="0" w:color="auto"/>
            </w:tcBorders>
          </w:tcPr>
          <w:p w:rsidR="00C85DCE" w:rsidRPr="001D2261" w:rsidRDefault="00C85DCE" w:rsidP="00640C61">
            <w:pPr>
              <w:ind w:firstLine="709"/>
              <w:jc w:val="both"/>
              <w:rPr>
                <w:rFonts w:eastAsiaTheme="minorHAnsi"/>
                <w:lang w:eastAsia="en-US"/>
              </w:rPr>
            </w:pPr>
            <w:r w:rsidRPr="001D2261">
              <w:rPr>
                <w:rFonts w:eastAsiaTheme="minorHAnsi"/>
                <w:lang w:eastAsia="en-US"/>
              </w:rPr>
              <w:t>64,2</w:t>
            </w:r>
          </w:p>
        </w:tc>
        <w:tc>
          <w:tcPr>
            <w:tcW w:w="892" w:type="pct"/>
            <w:tcBorders>
              <w:top w:val="single" w:sz="4" w:space="0" w:color="auto"/>
              <w:left w:val="single" w:sz="4" w:space="0" w:color="auto"/>
              <w:bottom w:val="single" w:sz="4" w:space="0" w:color="auto"/>
              <w:right w:val="single" w:sz="4" w:space="0" w:color="auto"/>
            </w:tcBorders>
          </w:tcPr>
          <w:p w:rsidR="00C85DCE" w:rsidRPr="001D2261" w:rsidRDefault="00C85DCE" w:rsidP="00640C61">
            <w:pPr>
              <w:ind w:firstLine="709"/>
              <w:jc w:val="both"/>
              <w:rPr>
                <w:rFonts w:eastAsiaTheme="minorHAnsi"/>
                <w:lang w:eastAsia="en-US"/>
              </w:rPr>
            </w:pPr>
            <w:r w:rsidRPr="001D2261">
              <w:rPr>
                <w:rFonts w:eastAsiaTheme="minorHAnsi"/>
                <w:lang w:eastAsia="en-US"/>
              </w:rPr>
              <w:t>66,0</w:t>
            </w:r>
          </w:p>
        </w:tc>
      </w:tr>
      <w:tr w:rsidR="00C85DCE" w:rsidRPr="001D2261" w:rsidTr="001D2261">
        <w:trPr>
          <w:jc w:val="center"/>
        </w:trPr>
        <w:tc>
          <w:tcPr>
            <w:tcW w:w="1840" w:type="pct"/>
            <w:tcBorders>
              <w:top w:val="single" w:sz="4" w:space="0" w:color="auto"/>
              <w:left w:val="single" w:sz="4" w:space="0" w:color="auto"/>
              <w:bottom w:val="single" w:sz="4" w:space="0" w:color="auto"/>
              <w:right w:val="single" w:sz="4" w:space="0" w:color="auto"/>
            </w:tcBorders>
            <w:vAlign w:val="center"/>
          </w:tcPr>
          <w:p w:rsidR="00C85DCE" w:rsidRPr="001D2261" w:rsidRDefault="00C85DCE" w:rsidP="001D2261">
            <w:pPr>
              <w:autoSpaceDE w:val="0"/>
              <w:autoSpaceDN w:val="0"/>
              <w:adjustRightInd w:val="0"/>
              <w:rPr>
                <w:rFonts w:eastAsia="Calibri"/>
                <w:color w:val="000000"/>
                <w:lang w:eastAsia="en-US"/>
              </w:rPr>
            </w:pPr>
            <w:r w:rsidRPr="001D2261">
              <w:rPr>
                <w:rFonts w:eastAsia="Calibri"/>
                <w:color w:val="000000"/>
                <w:lang w:eastAsia="en-US"/>
              </w:rPr>
              <w:t>Средний (41…60)</w:t>
            </w:r>
          </w:p>
        </w:tc>
        <w:tc>
          <w:tcPr>
            <w:tcW w:w="1134" w:type="pct"/>
            <w:tcBorders>
              <w:top w:val="single" w:sz="4" w:space="0" w:color="auto"/>
              <w:left w:val="single" w:sz="4" w:space="0" w:color="auto"/>
              <w:bottom w:val="single" w:sz="4" w:space="0" w:color="auto"/>
              <w:right w:val="single" w:sz="4" w:space="0" w:color="auto"/>
            </w:tcBorders>
          </w:tcPr>
          <w:p w:rsidR="00C85DCE" w:rsidRPr="001D2261" w:rsidRDefault="00C85DCE" w:rsidP="00640C61">
            <w:pPr>
              <w:ind w:firstLine="709"/>
              <w:jc w:val="both"/>
              <w:rPr>
                <w:rFonts w:eastAsiaTheme="minorHAnsi"/>
                <w:lang w:eastAsia="en-US"/>
              </w:rPr>
            </w:pPr>
            <w:r w:rsidRPr="001D2261">
              <w:rPr>
                <w:rFonts w:eastAsiaTheme="minorHAnsi"/>
                <w:lang w:eastAsia="en-US"/>
              </w:rPr>
              <w:t>5,8</w:t>
            </w:r>
          </w:p>
        </w:tc>
        <w:tc>
          <w:tcPr>
            <w:tcW w:w="1134" w:type="pct"/>
            <w:tcBorders>
              <w:top w:val="single" w:sz="4" w:space="0" w:color="auto"/>
              <w:left w:val="single" w:sz="4" w:space="0" w:color="auto"/>
              <w:bottom w:val="single" w:sz="4" w:space="0" w:color="auto"/>
              <w:right w:val="single" w:sz="4" w:space="0" w:color="auto"/>
            </w:tcBorders>
          </w:tcPr>
          <w:p w:rsidR="00C85DCE" w:rsidRPr="001D2261" w:rsidRDefault="00C85DCE" w:rsidP="00640C61">
            <w:pPr>
              <w:ind w:firstLine="709"/>
              <w:jc w:val="both"/>
              <w:rPr>
                <w:rFonts w:eastAsiaTheme="minorHAnsi"/>
                <w:lang w:eastAsia="en-US"/>
              </w:rPr>
            </w:pPr>
            <w:r w:rsidRPr="001D2261">
              <w:rPr>
                <w:rFonts w:eastAsiaTheme="minorHAnsi"/>
                <w:lang w:eastAsia="en-US"/>
              </w:rPr>
              <w:t>1,5</w:t>
            </w:r>
          </w:p>
        </w:tc>
        <w:tc>
          <w:tcPr>
            <w:tcW w:w="892" w:type="pct"/>
            <w:tcBorders>
              <w:top w:val="single" w:sz="4" w:space="0" w:color="auto"/>
              <w:left w:val="single" w:sz="4" w:space="0" w:color="auto"/>
              <w:bottom w:val="single" w:sz="4" w:space="0" w:color="auto"/>
              <w:right w:val="single" w:sz="4" w:space="0" w:color="auto"/>
            </w:tcBorders>
          </w:tcPr>
          <w:p w:rsidR="00C85DCE" w:rsidRPr="001D2261" w:rsidRDefault="00C85DCE" w:rsidP="00640C61">
            <w:pPr>
              <w:ind w:firstLine="709"/>
              <w:jc w:val="both"/>
              <w:rPr>
                <w:rFonts w:eastAsiaTheme="minorHAnsi"/>
                <w:lang w:eastAsia="en-US"/>
              </w:rPr>
            </w:pPr>
            <w:r w:rsidRPr="001D2261">
              <w:rPr>
                <w:rFonts w:eastAsiaTheme="minorHAnsi"/>
                <w:lang w:eastAsia="en-US"/>
              </w:rPr>
              <w:t>3,0</w:t>
            </w:r>
          </w:p>
        </w:tc>
      </w:tr>
      <w:tr w:rsidR="00C85DCE" w:rsidRPr="001D2261" w:rsidTr="001D2261">
        <w:trPr>
          <w:jc w:val="center"/>
        </w:trPr>
        <w:tc>
          <w:tcPr>
            <w:tcW w:w="1840" w:type="pct"/>
            <w:tcBorders>
              <w:top w:val="single" w:sz="4" w:space="0" w:color="auto"/>
              <w:left w:val="single" w:sz="4" w:space="0" w:color="auto"/>
              <w:bottom w:val="single" w:sz="4" w:space="0" w:color="auto"/>
              <w:right w:val="single" w:sz="4" w:space="0" w:color="auto"/>
            </w:tcBorders>
            <w:vAlign w:val="center"/>
            <w:hideMark/>
          </w:tcPr>
          <w:p w:rsidR="00C85DCE" w:rsidRPr="001D2261" w:rsidRDefault="00C85DCE" w:rsidP="001D2261">
            <w:pPr>
              <w:autoSpaceDE w:val="0"/>
              <w:autoSpaceDN w:val="0"/>
              <w:adjustRightInd w:val="0"/>
              <w:rPr>
                <w:rFonts w:eastAsia="Calibri"/>
                <w:color w:val="000000"/>
                <w:lang w:eastAsia="en-US"/>
              </w:rPr>
            </w:pPr>
            <w:r w:rsidRPr="001D2261">
              <w:rPr>
                <w:rFonts w:eastAsia="Calibri"/>
                <w:color w:val="000000"/>
                <w:lang w:eastAsia="en-US"/>
              </w:rPr>
              <w:t>Ниже среднего (20…40)</w:t>
            </w:r>
          </w:p>
        </w:tc>
        <w:tc>
          <w:tcPr>
            <w:tcW w:w="1134" w:type="pct"/>
            <w:tcBorders>
              <w:top w:val="single" w:sz="4" w:space="0" w:color="auto"/>
              <w:left w:val="single" w:sz="4" w:space="0" w:color="auto"/>
              <w:bottom w:val="single" w:sz="4" w:space="0" w:color="auto"/>
              <w:right w:val="single" w:sz="4" w:space="0" w:color="auto"/>
            </w:tcBorders>
          </w:tcPr>
          <w:p w:rsidR="00C85DCE" w:rsidRPr="001D2261" w:rsidRDefault="00C85DCE" w:rsidP="00640C61">
            <w:pPr>
              <w:ind w:firstLine="709"/>
              <w:jc w:val="both"/>
              <w:rPr>
                <w:rFonts w:eastAsiaTheme="minorHAnsi"/>
                <w:lang w:eastAsia="en-US"/>
              </w:rPr>
            </w:pPr>
            <w:r w:rsidRPr="001D2261">
              <w:rPr>
                <w:rFonts w:eastAsiaTheme="minorHAnsi"/>
                <w:lang w:eastAsia="en-US"/>
              </w:rPr>
              <w:t>0,0</w:t>
            </w:r>
          </w:p>
        </w:tc>
        <w:tc>
          <w:tcPr>
            <w:tcW w:w="1134" w:type="pct"/>
            <w:tcBorders>
              <w:top w:val="single" w:sz="4" w:space="0" w:color="auto"/>
              <w:left w:val="single" w:sz="4" w:space="0" w:color="auto"/>
              <w:bottom w:val="single" w:sz="4" w:space="0" w:color="auto"/>
              <w:right w:val="single" w:sz="4" w:space="0" w:color="auto"/>
            </w:tcBorders>
          </w:tcPr>
          <w:p w:rsidR="00C85DCE" w:rsidRPr="001D2261" w:rsidRDefault="00C85DCE" w:rsidP="00640C61">
            <w:pPr>
              <w:ind w:firstLine="709"/>
              <w:jc w:val="both"/>
              <w:rPr>
                <w:rFonts w:eastAsiaTheme="minorHAnsi"/>
                <w:lang w:eastAsia="en-US"/>
              </w:rPr>
            </w:pPr>
            <w:r w:rsidRPr="001D2261">
              <w:rPr>
                <w:rFonts w:eastAsiaTheme="minorHAnsi"/>
                <w:lang w:eastAsia="en-US"/>
              </w:rPr>
              <w:t>0,0</w:t>
            </w:r>
          </w:p>
        </w:tc>
        <w:tc>
          <w:tcPr>
            <w:tcW w:w="892" w:type="pct"/>
            <w:tcBorders>
              <w:top w:val="single" w:sz="4" w:space="0" w:color="auto"/>
              <w:left w:val="single" w:sz="4" w:space="0" w:color="auto"/>
              <w:bottom w:val="single" w:sz="4" w:space="0" w:color="auto"/>
              <w:right w:val="single" w:sz="4" w:space="0" w:color="auto"/>
            </w:tcBorders>
          </w:tcPr>
          <w:p w:rsidR="00C85DCE" w:rsidRPr="001D2261" w:rsidRDefault="00C85DCE" w:rsidP="00640C61">
            <w:pPr>
              <w:ind w:firstLine="709"/>
              <w:jc w:val="both"/>
              <w:rPr>
                <w:rFonts w:eastAsiaTheme="minorHAnsi"/>
                <w:lang w:eastAsia="en-US"/>
              </w:rPr>
            </w:pPr>
            <w:r w:rsidRPr="001D2261">
              <w:rPr>
                <w:rFonts w:eastAsiaTheme="minorHAnsi"/>
                <w:lang w:eastAsia="en-US"/>
              </w:rPr>
              <w:t>0,0</w:t>
            </w:r>
          </w:p>
        </w:tc>
      </w:tr>
      <w:tr w:rsidR="00C85DCE" w:rsidRPr="001D2261" w:rsidTr="001D2261">
        <w:trPr>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C85DCE" w:rsidRPr="001D2261" w:rsidRDefault="00C85DCE" w:rsidP="001D2261">
            <w:pPr>
              <w:rPr>
                <w:rFonts w:eastAsia="Calibri"/>
                <w:lang w:eastAsia="en-US"/>
              </w:rPr>
            </w:pPr>
            <w:r w:rsidRPr="001D2261">
              <w:rPr>
                <w:rFonts w:eastAsia="Calibri"/>
                <w:lang w:eastAsia="en-US"/>
              </w:rPr>
              <w:t>Рассчитано автором</w:t>
            </w:r>
          </w:p>
        </w:tc>
      </w:tr>
    </w:tbl>
    <w:p w:rsidR="00C85DCE" w:rsidRPr="00C72130" w:rsidRDefault="00C85DCE" w:rsidP="00640C61">
      <w:pPr>
        <w:ind w:firstLine="709"/>
        <w:jc w:val="both"/>
        <w:rPr>
          <w:rFonts w:eastAsia="Calibri"/>
          <w:sz w:val="16"/>
          <w:szCs w:val="16"/>
          <w:lang w:eastAsia="en-US"/>
        </w:rPr>
      </w:pPr>
    </w:p>
    <w:p w:rsidR="00C85DCE" w:rsidRPr="00640C61" w:rsidRDefault="00C85DCE" w:rsidP="00640C61">
      <w:pPr>
        <w:ind w:firstLine="709"/>
        <w:jc w:val="both"/>
        <w:rPr>
          <w:rFonts w:eastAsia="Calibri"/>
          <w:lang w:eastAsia="en-US"/>
        </w:rPr>
      </w:pPr>
      <w:r w:rsidRPr="00640C61">
        <w:rPr>
          <w:rFonts w:eastAsia="Calibri"/>
          <w:lang w:eastAsia="en-US"/>
        </w:rPr>
        <w:t>Подводя итог, нужно сказать, что большинство детей выборки готовы к трудовой деятельности, в то же время у них не сформированы представления о том, в какой области себя реализовать, что является причиной неэффективного использования трудового потенциала в экономике региона в будущем.</w:t>
      </w:r>
    </w:p>
    <w:p w:rsidR="001D2261" w:rsidRDefault="00C85DCE" w:rsidP="00640C61">
      <w:pPr>
        <w:ind w:firstLine="709"/>
        <w:jc w:val="both"/>
        <w:rPr>
          <w:rFonts w:eastAsia="Calibri"/>
          <w:lang w:eastAsia="en-US"/>
        </w:rPr>
      </w:pPr>
      <w:r w:rsidRPr="00640C61">
        <w:rPr>
          <w:rFonts w:eastAsia="Calibri"/>
          <w:lang w:eastAsia="en-US"/>
        </w:rPr>
        <w:t xml:space="preserve">Методика позволила в первую очередь дать информацию всем участникам образовательного процесса об уровне организации </w:t>
      </w:r>
      <w:proofErr w:type="spellStart"/>
      <w:r w:rsidRPr="00640C61">
        <w:rPr>
          <w:rFonts w:eastAsia="Calibri"/>
          <w:lang w:eastAsia="en-US"/>
        </w:rPr>
        <w:t>профориентационной</w:t>
      </w:r>
      <w:proofErr w:type="spellEnd"/>
      <w:r w:rsidRPr="00640C61">
        <w:rPr>
          <w:rFonts w:eastAsia="Calibri"/>
          <w:lang w:eastAsia="en-US"/>
        </w:rPr>
        <w:t xml:space="preserve"> работы</w:t>
      </w:r>
      <w:r w:rsidR="00AA201A">
        <w:rPr>
          <w:rFonts w:eastAsia="Calibri"/>
          <w:lang w:eastAsia="en-US"/>
        </w:rPr>
        <w:t xml:space="preserve"> </w:t>
      </w:r>
      <w:r w:rsidRPr="00640C61">
        <w:rPr>
          <w:rFonts w:eastAsia="Calibri"/>
          <w:lang w:eastAsia="en-US"/>
        </w:rPr>
        <w:t xml:space="preserve">среди детей </w:t>
      </w:r>
      <w:proofErr w:type="spellStart"/>
      <w:r w:rsidRPr="00640C61">
        <w:rPr>
          <w:rFonts w:eastAsia="Calibri"/>
          <w:lang w:eastAsia="en-US"/>
        </w:rPr>
        <w:t>предвыпускных</w:t>
      </w:r>
      <w:proofErr w:type="spellEnd"/>
      <w:r w:rsidRPr="00640C61">
        <w:rPr>
          <w:rFonts w:eastAsia="Calibri"/>
          <w:lang w:eastAsia="en-US"/>
        </w:rPr>
        <w:t xml:space="preserve"> и выпускных классов, </w:t>
      </w:r>
      <w:r w:rsidR="008F78F4">
        <w:rPr>
          <w:rFonts w:eastAsia="Calibri"/>
          <w:lang w:eastAsia="en-US"/>
        </w:rPr>
        <w:t>их готовности</w:t>
      </w:r>
      <w:r w:rsidRPr="00640C61">
        <w:rPr>
          <w:rFonts w:eastAsia="Calibri"/>
          <w:lang w:eastAsia="en-US"/>
        </w:rPr>
        <w:t xml:space="preserve"> к реализации трудового потенциала. Можно предположить, что модель «профориентация в школе – желание получить профессию – приобретение профессионального образования» является недостаточно результативной. Для совершенствования этой работы необходима система взаимодействия между образовательными медицинскими организациями, семьей с целью создания условий для осознанного выбора молод</w:t>
      </w:r>
      <w:r w:rsidR="001C6F61">
        <w:rPr>
          <w:rFonts w:eastAsia="Calibri"/>
          <w:lang w:eastAsia="en-US"/>
        </w:rPr>
        <w:t xml:space="preserve">ыми людьми будущей </w:t>
      </w:r>
      <w:r w:rsidR="001C6F61" w:rsidRPr="001D2261">
        <w:rPr>
          <w:rFonts w:eastAsia="Calibri"/>
          <w:lang w:eastAsia="en-US"/>
        </w:rPr>
        <w:t>профессии</w:t>
      </w:r>
      <w:r w:rsidR="001D2261">
        <w:rPr>
          <w:rFonts w:eastAsia="Calibri"/>
          <w:lang w:eastAsia="en-US"/>
        </w:rPr>
        <w:t xml:space="preserve"> </w:t>
      </w:r>
      <w:r w:rsidR="00D45320">
        <w:rPr>
          <w:rFonts w:eastAsia="Calibri"/>
          <w:lang w:eastAsia="en-US"/>
        </w:rPr>
        <w:t>[</w:t>
      </w:r>
      <w:r w:rsidR="00D45320" w:rsidRPr="00D45320">
        <w:rPr>
          <w:rFonts w:eastAsia="Calibri"/>
          <w:lang w:eastAsia="en-US"/>
        </w:rPr>
        <w:t>9</w:t>
      </w:r>
      <w:r w:rsidR="001C6F61" w:rsidRPr="001D2261">
        <w:rPr>
          <w:rFonts w:eastAsia="Calibri"/>
          <w:lang w:eastAsia="en-US"/>
        </w:rPr>
        <w:t>]</w:t>
      </w:r>
      <w:r w:rsidR="00D96E90" w:rsidRPr="001D2261">
        <w:rPr>
          <w:rFonts w:eastAsia="Calibri"/>
          <w:lang w:eastAsia="en-US"/>
        </w:rPr>
        <w:t xml:space="preserve">. </w:t>
      </w:r>
      <w:r w:rsidRPr="00640C61">
        <w:rPr>
          <w:rFonts w:eastAsia="Calibri"/>
          <w:lang w:eastAsia="en-US"/>
        </w:rPr>
        <w:t xml:space="preserve">Гендерные различия в профессиональном самоопределении и распределении по уровням готовности к реализации трудового потенциала необходимо учитывать при формировании программ </w:t>
      </w:r>
      <w:proofErr w:type="spellStart"/>
      <w:r w:rsidRPr="00640C61">
        <w:rPr>
          <w:rFonts w:eastAsia="Calibri"/>
          <w:lang w:eastAsia="en-US"/>
        </w:rPr>
        <w:t>профориентационной</w:t>
      </w:r>
      <w:proofErr w:type="spellEnd"/>
      <w:r w:rsidRPr="00640C61">
        <w:rPr>
          <w:rFonts w:eastAsia="Calibri"/>
          <w:lang w:eastAsia="en-US"/>
        </w:rPr>
        <w:t xml:space="preserve"> подготовки, составлении индивидуальных образовательных маршрутов.</w:t>
      </w:r>
    </w:p>
    <w:p w:rsidR="00C85DCE" w:rsidRPr="00640C61" w:rsidRDefault="00C85DCE" w:rsidP="00640C61">
      <w:pPr>
        <w:ind w:firstLine="709"/>
        <w:jc w:val="both"/>
        <w:rPr>
          <w:rFonts w:eastAsia="Calibri"/>
          <w:lang w:eastAsia="en-US"/>
        </w:rPr>
      </w:pPr>
      <w:r w:rsidRPr="00640C61">
        <w:rPr>
          <w:rFonts w:eastAsia="Calibri"/>
          <w:lang w:eastAsia="en-US"/>
        </w:rPr>
        <w:t xml:space="preserve">Помимо качественных и количественных результатов, апробация методики позволила выявить и недостатки исследования. В первую очередь, малочисленность выборки. Второе, качественный состав респондентов, так как учащиеся 10-11 классов в основном нацелены на получение высшего образования. Поэтому возможно включение в выборку </w:t>
      </w:r>
      <w:r w:rsidR="00C72130">
        <w:rPr>
          <w:rFonts w:eastAsia="Calibri"/>
          <w:lang w:eastAsia="en-US"/>
        </w:rPr>
        <w:t>7–8 классов</w:t>
      </w:r>
      <w:r w:rsidRPr="00640C61">
        <w:rPr>
          <w:rFonts w:eastAsia="Calibri"/>
          <w:lang w:eastAsia="en-US"/>
        </w:rPr>
        <w:t>, планирующих поступать в организации среднего профессионального образования или трудоустраиваться. Отметим, что цель и задачи исследования удалось выполнить. По итогам диагностики проведено 56 совместных консультаций: родителей учеников, педагогов. Даны адресные рекомендации обучающимся, родителям, педагогам о возможности выбора будущей профессии, необходимости медицинского обследования и лечения, дополнительных занятий по отдельным школьным предметам, коррекции нарушений коммуникативных навыков.</w:t>
      </w:r>
      <w:r w:rsidRPr="00640C61">
        <w:rPr>
          <w:rFonts w:eastAsiaTheme="minorHAnsi"/>
          <w:lang w:eastAsia="en-US"/>
        </w:rPr>
        <w:t xml:space="preserve"> </w:t>
      </w:r>
    </w:p>
    <w:p w:rsidR="00F55391" w:rsidRPr="001D2261" w:rsidRDefault="00F55391" w:rsidP="00640C61">
      <w:pPr>
        <w:ind w:firstLine="709"/>
        <w:jc w:val="both"/>
        <w:rPr>
          <w:color w:val="FF0000"/>
          <w:sz w:val="16"/>
          <w:szCs w:val="16"/>
        </w:rPr>
      </w:pPr>
    </w:p>
    <w:p w:rsidR="00C85DCE" w:rsidRDefault="004E103E" w:rsidP="00970117">
      <w:pPr>
        <w:ind w:firstLine="709"/>
        <w:jc w:val="center"/>
      </w:pPr>
      <w:r>
        <w:t>Библиографический список</w:t>
      </w:r>
      <w:r w:rsidR="00970117">
        <w:t>:</w:t>
      </w:r>
    </w:p>
    <w:p w:rsidR="001C6F61" w:rsidRPr="00D96E90" w:rsidRDefault="001C6F61" w:rsidP="00092949">
      <w:pPr>
        <w:pStyle w:val="a4"/>
        <w:ind w:firstLine="709"/>
        <w:jc w:val="both"/>
        <w:rPr>
          <w:sz w:val="24"/>
          <w:szCs w:val="24"/>
        </w:rPr>
      </w:pPr>
      <w:r w:rsidRPr="001C6F61">
        <w:rPr>
          <w:sz w:val="24"/>
          <w:szCs w:val="24"/>
        </w:rPr>
        <w:t>1.</w:t>
      </w:r>
      <w:r w:rsidR="00D96E90">
        <w:rPr>
          <w:sz w:val="24"/>
          <w:szCs w:val="24"/>
        </w:rPr>
        <w:t xml:space="preserve"> </w:t>
      </w:r>
      <w:r w:rsidRPr="001C6F61">
        <w:rPr>
          <w:sz w:val="24"/>
          <w:szCs w:val="24"/>
        </w:rPr>
        <w:t xml:space="preserve">Качество трудового потенциала в регионах России под рук. </w:t>
      </w:r>
      <w:proofErr w:type="spellStart"/>
      <w:r w:rsidRPr="001C6F61">
        <w:rPr>
          <w:sz w:val="24"/>
          <w:szCs w:val="24"/>
        </w:rPr>
        <w:t>д.э</w:t>
      </w:r>
      <w:proofErr w:type="gramStart"/>
      <w:r w:rsidRPr="001C6F61">
        <w:rPr>
          <w:sz w:val="24"/>
          <w:szCs w:val="24"/>
        </w:rPr>
        <w:t>.н</w:t>
      </w:r>
      <w:proofErr w:type="spellEnd"/>
      <w:proofErr w:type="gramEnd"/>
      <w:r w:rsidRPr="001C6F61">
        <w:rPr>
          <w:sz w:val="24"/>
          <w:szCs w:val="24"/>
        </w:rPr>
        <w:t xml:space="preserve"> Н.М. </w:t>
      </w:r>
      <w:proofErr w:type="spellStart"/>
      <w:r w:rsidRPr="001C6F61">
        <w:rPr>
          <w:sz w:val="24"/>
          <w:szCs w:val="24"/>
        </w:rPr>
        <w:t>Римашевской</w:t>
      </w:r>
      <w:proofErr w:type="spellEnd"/>
      <w:r w:rsidRPr="001C6F61">
        <w:rPr>
          <w:sz w:val="24"/>
          <w:szCs w:val="24"/>
        </w:rPr>
        <w:t xml:space="preserve"> / Народонаселение. 2012. № 3. С. 111– 127.1</w:t>
      </w:r>
    </w:p>
    <w:p w:rsidR="001C6F61" w:rsidRPr="001C6F61" w:rsidRDefault="001C6F61" w:rsidP="00092949">
      <w:pPr>
        <w:pStyle w:val="a4"/>
        <w:ind w:firstLine="709"/>
        <w:jc w:val="both"/>
        <w:rPr>
          <w:sz w:val="24"/>
          <w:szCs w:val="24"/>
        </w:rPr>
      </w:pPr>
      <w:r w:rsidRPr="001C6F61">
        <w:rPr>
          <w:sz w:val="24"/>
          <w:szCs w:val="24"/>
        </w:rPr>
        <w:t>2.</w:t>
      </w:r>
      <w:r w:rsidR="00D96E90">
        <w:rPr>
          <w:sz w:val="24"/>
          <w:szCs w:val="24"/>
        </w:rPr>
        <w:t xml:space="preserve"> </w:t>
      </w:r>
      <w:r w:rsidRPr="001C6F61">
        <w:rPr>
          <w:sz w:val="24"/>
          <w:szCs w:val="24"/>
        </w:rPr>
        <w:t xml:space="preserve">Концепция долгосрочного социально-экономического развития Российской Федерации на период до 2020 года утв. распоряжением Правительства РФ от 17 </w:t>
      </w:r>
      <w:proofErr w:type="spellStart"/>
      <w:r w:rsidRPr="001C6F61">
        <w:rPr>
          <w:sz w:val="24"/>
          <w:szCs w:val="24"/>
        </w:rPr>
        <w:t>нояб</w:t>
      </w:r>
      <w:proofErr w:type="spellEnd"/>
      <w:r w:rsidRPr="001C6F61">
        <w:rPr>
          <w:sz w:val="24"/>
          <w:szCs w:val="24"/>
        </w:rPr>
        <w:t>. 2008 г. № 1662-р. [Электронный ресурс]: Режим доступа: http://www.ifap.ru/ofdocs/rus/rus006.pdf.</w:t>
      </w:r>
    </w:p>
    <w:p w:rsidR="001C6F61" w:rsidRPr="00D96E90" w:rsidRDefault="001C6F61" w:rsidP="00092949">
      <w:pPr>
        <w:pStyle w:val="a4"/>
        <w:ind w:firstLine="709"/>
        <w:jc w:val="both"/>
        <w:rPr>
          <w:sz w:val="24"/>
          <w:szCs w:val="24"/>
        </w:rPr>
      </w:pPr>
      <w:r w:rsidRPr="001C6F61">
        <w:rPr>
          <w:sz w:val="24"/>
          <w:szCs w:val="24"/>
        </w:rPr>
        <w:t>3.</w:t>
      </w:r>
      <w:r w:rsidR="00D96E90">
        <w:rPr>
          <w:sz w:val="24"/>
          <w:szCs w:val="24"/>
        </w:rPr>
        <w:t xml:space="preserve"> </w:t>
      </w:r>
      <w:r w:rsidRPr="001C6F61">
        <w:rPr>
          <w:sz w:val="24"/>
          <w:szCs w:val="24"/>
        </w:rPr>
        <w:t>Леонидова, Г.В. Генерация знаний талантливой молодёжи в интересах интеллектуализации человеческого капитала: методы и формы осуществления//Экономические и социальные перемены: факты, тенденции, прогноз.2011. №1 (13). С. 90–100.</w:t>
      </w:r>
    </w:p>
    <w:p w:rsidR="001C6F61" w:rsidRPr="00D96E90" w:rsidRDefault="001C6F61" w:rsidP="00092949">
      <w:pPr>
        <w:pStyle w:val="a4"/>
        <w:ind w:firstLine="709"/>
        <w:jc w:val="both"/>
        <w:rPr>
          <w:sz w:val="24"/>
          <w:szCs w:val="24"/>
        </w:rPr>
      </w:pPr>
      <w:r w:rsidRPr="001C6F61">
        <w:rPr>
          <w:sz w:val="24"/>
          <w:szCs w:val="24"/>
        </w:rPr>
        <w:t>4.</w:t>
      </w:r>
      <w:r w:rsidR="00D96E90">
        <w:rPr>
          <w:sz w:val="24"/>
          <w:szCs w:val="24"/>
        </w:rPr>
        <w:t xml:space="preserve"> </w:t>
      </w:r>
      <w:r w:rsidRPr="001C6F61">
        <w:rPr>
          <w:sz w:val="24"/>
          <w:szCs w:val="24"/>
        </w:rPr>
        <w:t xml:space="preserve">Леонидова, Г. В. Трудовой потенциал: территориальные аспекты качественного состояния//Проблемы развития территории. </w:t>
      </w:r>
      <w:r w:rsidRPr="00D96E90">
        <w:rPr>
          <w:sz w:val="24"/>
          <w:szCs w:val="24"/>
        </w:rPr>
        <w:t>2013. № 3 (65). С. 60</w:t>
      </w:r>
    </w:p>
    <w:p w:rsidR="001C6F61" w:rsidRPr="00D96E90" w:rsidRDefault="001D2261" w:rsidP="00092949">
      <w:pPr>
        <w:pStyle w:val="a4"/>
        <w:ind w:firstLine="709"/>
        <w:jc w:val="both"/>
        <w:rPr>
          <w:sz w:val="24"/>
          <w:szCs w:val="24"/>
        </w:rPr>
      </w:pPr>
      <w:r w:rsidRPr="001D2261">
        <w:rPr>
          <w:sz w:val="24"/>
          <w:szCs w:val="24"/>
        </w:rPr>
        <w:lastRenderedPageBreak/>
        <w:t>5</w:t>
      </w:r>
      <w:r w:rsidR="001C6F61" w:rsidRPr="001C6F61">
        <w:rPr>
          <w:sz w:val="24"/>
          <w:szCs w:val="24"/>
        </w:rPr>
        <w:t>.</w:t>
      </w:r>
      <w:r w:rsidR="00D96E90">
        <w:rPr>
          <w:sz w:val="24"/>
          <w:szCs w:val="24"/>
        </w:rPr>
        <w:t xml:space="preserve"> </w:t>
      </w:r>
      <w:proofErr w:type="spellStart"/>
      <w:r w:rsidR="001C6F61" w:rsidRPr="001C6F61">
        <w:rPr>
          <w:sz w:val="24"/>
          <w:szCs w:val="24"/>
        </w:rPr>
        <w:t>Ображей</w:t>
      </w:r>
      <w:proofErr w:type="spellEnd"/>
      <w:r w:rsidR="001C6F61" w:rsidRPr="001C6F61">
        <w:rPr>
          <w:sz w:val="24"/>
          <w:szCs w:val="24"/>
        </w:rPr>
        <w:t xml:space="preserve">, О.Н. Детство как объект социологического изучения </w:t>
      </w:r>
      <w:r w:rsidR="001C6F61" w:rsidRPr="001C6F61">
        <w:rPr>
          <w:sz w:val="24"/>
          <w:szCs w:val="24"/>
          <w:lang w:val="en-US"/>
        </w:rPr>
        <w:t>URL</w:t>
      </w:r>
      <w:r w:rsidR="001C6F61" w:rsidRPr="001C6F61">
        <w:rPr>
          <w:sz w:val="24"/>
          <w:szCs w:val="24"/>
        </w:rPr>
        <w:t xml:space="preserve"> </w:t>
      </w:r>
      <w:r w:rsidR="001C6F61" w:rsidRPr="001C6F61">
        <w:rPr>
          <w:sz w:val="24"/>
          <w:szCs w:val="24"/>
          <w:lang w:val="en-US"/>
        </w:rPr>
        <w:t>http</w:t>
      </w:r>
      <w:r w:rsidR="001C6F61" w:rsidRPr="001C6F61">
        <w:rPr>
          <w:sz w:val="24"/>
          <w:szCs w:val="24"/>
        </w:rPr>
        <w:t>://</w:t>
      </w:r>
      <w:proofErr w:type="spellStart"/>
      <w:r w:rsidR="001C6F61" w:rsidRPr="001C6F61">
        <w:rPr>
          <w:sz w:val="24"/>
          <w:szCs w:val="24"/>
          <w:lang w:val="en-US"/>
        </w:rPr>
        <w:t>cyberleninka</w:t>
      </w:r>
      <w:proofErr w:type="spellEnd"/>
      <w:r w:rsidR="001C6F61" w:rsidRPr="001C6F61">
        <w:rPr>
          <w:sz w:val="24"/>
          <w:szCs w:val="24"/>
        </w:rPr>
        <w:t>.</w:t>
      </w:r>
      <w:proofErr w:type="spellStart"/>
      <w:r w:rsidR="001C6F61" w:rsidRPr="001C6F61">
        <w:rPr>
          <w:sz w:val="24"/>
          <w:szCs w:val="24"/>
          <w:lang w:val="en-US"/>
        </w:rPr>
        <w:t>ru</w:t>
      </w:r>
      <w:proofErr w:type="spellEnd"/>
      <w:r w:rsidR="001C6F61" w:rsidRPr="001C6F61">
        <w:rPr>
          <w:sz w:val="24"/>
          <w:szCs w:val="24"/>
        </w:rPr>
        <w:t>/</w:t>
      </w:r>
      <w:r w:rsidR="001C6F61" w:rsidRPr="001C6F61">
        <w:rPr>
          <w:sz w:val="24"/>
          <w:szCs w:val="24"/>
          <w:lang w:val="en-US"/>
        </w:rPr>
        <w:t>article</w:t>
      </w:r>
      <w:r w:rsidR="001C6F61" w:rsidRPr="001C6F61">
        <w:rPr>
          <w:sz w:val="24"/>
          <w:szCs w:val="24"/>
        </w:rPr>
        <w:t>/</w:t>
      </w:r>
      <w:r w:rsidR="001C6F61" w:rsidRPr="001C6F61">
        <w:rPr>
          <w:sz w:val="24"/>
          <w:szCs w:val="24"/>
          <w:lang w:val="en-US"/>
        </w:rPr>
        <w:t>n</w:t>
      </w:r>
      <w:r w:rsidR="001C6F61" w:rsidRPr="001C6F61">
        <w:rPr>
          <w:sz w:val="24"/>
          <w:szCs w:val="24"/>
        </w:rPr>
        <w:t>/</w:t>
      </w:r>
      <w:proofErr w:type="spellStart"/>
      <w:r w:rsidR="001C6F61" w:rsidRPr="001C6F61">
        <w:rPr>
          <w:sz w:val="24"/>
          <w:szCs w:val="24"/>
          <w:lang w:val="en-US"/>
        </w:rPr>
        <w:t>detstvo</w:t>
      </w:r>
      <w:proofErr w:type="spellEnd"/>
      <w:r w:rsidR="001C6F61" w:rsidRPr="001C6F61">
        <w:rPr>
          <w:sz w:val="24"/>
          <w:szCs w:val="24"/>
        </w:rPr>
        <w:t>-</w:t>
      </w:r>
      <w:proofErr w:type="spellStart"/>
      <w:r w:rsidR="001C6F61" w:rsidRPr="001C6F61">
        <w:rPr>
          <w:sz w:val="24"/>
          <w:szCs w:val="24"/>
          <w:lang w:val="en-US"/>
        </w:rPr>
        <w:t>kak</w:t>
      </w:r>
      <w:proofErr w:type="spellEnd"/>
      <w:r w:rsidR="001C6F61" w:rsidRPr="001C6F61">
        <w:rPr>
          <w:sz w:val="24"/>
          <w:szCs w:val="24"/>
        </w:rPr>
        <w:t>-</w:t>
      </w:r>
      <w:proofErr w:type="spellStart"/>
      <w:r w:rsidR="001C6F61" w:rsidRPr="001C6F61">
        <w:rPr>
          <w:sz w:val="24"/>
          <w:szCs w:val="24"/>
          <w:lang w:val="en-US"/>
        </w:rPr>
        <w:t>obekt</w:t>
      </w:r>
      <w:proofErr w:type="spellEnd"/>
      <w:r w:rsidR="001C6F61" w:rsidRPr="001C6F61">
        <w:rPr>
          <w:sz w:val="24"/>
          <w:szCs w:val="24"/>
        </w:rPr>
        <w:t>-</w:t>
      </w:r>
      <w:proofErr w:type="spellStart"/>
      <w:r w:rsidR="001C6F61" w:rsidRPr="001C6F61">
        <w:rPr>
          <w:sz w:val="24"/>
          <w:szCs w:val="24"/>
          <w:lang w:val="en-US"/>
        </w:rPr>
        <w:t>sotsiologicheskogo</w:t>
      </w:r>
      <w:proofErr w:type="spellEnd"/>
      <w:r w:rsidR="001C6F61" w:rsidRPr="001C6F61">
        <w:rPr>
          <w:sz w:val="24"/>
          <w:szCs w:val="24"/>
        </w:rPr>
        <w:t>-</w:t>
      </w:r>
      <w:proofErr w:type="spellStart"/>
      <w:r w:rsidR="001C6F61" w:rsidRPr="001C6F61">
        <w:rPr>
          <w:sz w:val="24"/>
          <w:szCs w:val="24"/>
          <w:lang w:val="en-US"/>
        </w:rPr>
        <w:t>izucheniya</w:t>
      </w:r>
      <w:proofErr w:type="spellEnd"/>
      <w:r w:rsidR="001C6F61" w:rsidRPr="001C6F61">
        <w:rPr>
          <w:sz w:val="24"/>
          <w:szCs w:val="24"/>
        </w:rPr>
        <w:t xml:space="preserve"> (дата обращения 20.06.2018).</w:t>
      </w:r>
    </w:p>
    <w:p w:rsidR="001C6F61" w:rsidRDefault="001D2261" w:rsidP="00092949">
      <w:pPr>
        <w:pStyle w:val="a4"/>
        <w:ind w:firstLine="709"/>
        <w:jc w:val="both"/>
        <w:rPr>
          <w:sz w:val="24"/>
          <w:szCs w:val="24"/>
        </w:rPr>
      </w:pPr>
      <w:r w:rsidRPr="008609DF">
        <w:rPr>
          <w:sz w:val="24"/>
          <w:szCs w:val="24"/>
        </w:rPr>
        <w:t>6</w:t>
      </w:r>
      <w:r w:rsidR="001C6F61" w:rsidRPr="001C6F61">
        <w:rPr>
          <w:sz w:val="24"/>
          <w:szCs w:val="24"/>
        </w:rPr>
        <w:t>.</w:t>
      </w:r>
      <w:r w:rsidR="00D96E90">
        <w:rPr>
          <w:sz w:val="24"/>
          <w:szCs w:val="24"/>
        </w:rPr>
        <w:t xml:space="preserve"> </w:t>
      </w:r>
      <w:r w:rsidR="001C6F61" w:rsidRPr="001C6F61">
        <w:rPr>
          <w:sz w:val="24"/>
          <w:szCs w:val="24"/>
        </w:rPr>
        <w:t>Проблемы эффективности государственного управления. Человеческий капитал территорий: проблемы формирования и использования: монография; под общ</w:t>
      </w:r>
      <w:proofErr w:type="gramStart"/>
      <w:r w:rsidR="001C6F61" w:rsidRPr="001C6F61">
        <w:rPr>
          <w:sz w:val="24"/>
          <w:szCs w:val="24"/>
        </w:rPr>
        <w:t>.</w:t>
      </w:r>
      <w:proofErr w:type="gramEnd"/>
      <w:r w:rsidR="001C6F61" w:rsidRPr="001C6F61">
        <w:rPr>
          <w:sz w:val="24"/>
          <w:szCs w:val="24"/>
        </w:rPr>
        <w:t xml:space="preserve"> </w:t>
      </w:r>
      <w:proofErr w:type="gramStart"/>
      <w:r w:rsidR="001C6F61" w:rsidRPr="001C6F61">
        <w:rPr>
          <w:sz w:val="24"/>
          <w:szCs w:val="24"/>
        </w:rPr>
        <w:t>р</w:t>
      </w:r>
      <w:proofErr w:type="gramEnd"/>
      <w:r w:rsidR="001C6F61" w:rsidRPr="001C6F61">
        <w:rPr>
          <w:sz w:val="24"/>
          <w:szCs w:val="24"/>
        </w:rPr>
        <w:t xml:space="preserve">ед. А. А. </w:t>
      </w:r>
      <w:proofErr w:type="spellStart"/>
      <w:r w:rsidR="001C6F61" w:rsidRPr="001C6F61">
        <w:rPr>
          <w:sz w:val="24"/>
          <w:szCs w:val="24"/>
        </w:rPr>
        <w:t>Шабуновой</w:t>
      </w:r>
      <w:proofErr w:type="spellEnd"/>
      <w:r w:rsidR="001C6F61" w:rsidRPr="001C6F61">
        <w:rPr>
          <w:sz w:val="24"/>
          <w:szCs w:val="24"/>
        </w:rPr>
        <w:t xml:space="preserve">. Вологда: Институт социально-экономического развития территорий РАН, 2013. </w:t>
      </w:r>
      <w:r w:rsidR="001C6F61" w:rsidRPr="004E103E">
        <w:rPr>
          <w:sz w:val="24"/>
          <w:szCs w:val="24"/>
        </w:rPr>
        <w:t>С. 39–45</w:t>
      </w:r>
      <w:r w:rsidR="00842A89">
        <w:rPr>
          <w:sz w:val="24"/>
          <w:szCs w:val="24"/>
        </w:rPr>
        <w:t>.</w:t>
      </w:r>
    </w:p>
    <w:p w:rsidR="00842A89" w:rsidRDefault="00842A89" w:rsidP="00092949">
      <w:pPr>
        <w:pStyle w:val="a4"/>
        <w:ind w:firstLine="709"/>
        <w:jc w:val="both"/>
        <w:rPr>
          <w:sz w:val="24"/>
          <w:szCs w:val="24"/>
        </w:rPr>
      </w:pPr>
      <w:r>
        <w:rPr>
          <w:sz w:val="24"/>
          <w:szCs w:val="24"/>
        </w:rPr>
        <w:t xml:space="preserve">7. </w:t>
      </w:r>
      <w:r w:rsidRPr="00842A89">
        <w:rPr>
          <w:sz w:val="24"/>
          <w:szCs w:val="24"/>
        </w:rPr>
        <w:t>Разварина И.Н. Результаты исследования по методике оценки готовности детей 14–17 лет к реализации трудового потенциала // Социальное пространство. 2018. № 4 (16). DOI: 10.15838/</w:t>
      </w:r>
      <w:proofErr w:type="spellStart"/>
      <w:r w:rsidRPr="00842A89">
        <w:rPr>
          <w:sz w:val="24"/>
          <w:szCs w:val="24"/>
        </w:rPr>
        <w:t>sa</w:t>
      </w:r>
      <w:proofErr w:type="spellEnd"/>
      <w:r w:rsidRPr="00842A89">
        <w:rPr>
          <w:sz w:val="24"/>
          <w:szCs w:val="24"/>
        </w:rPr>
        <w:t>/2018.4.16.2</w:t>
      </w:r>
    </w:p>
    <w:p w:rsidR="001C6F61" w:rsidRPr="001C6F61" w:rsidRDefault="00842A89" w:rsidP="00092949">
      <w:pPr>
        <w:pStyle w:val="a4"/>
        <w:ind w:firstLine="709"/>
        <w:jc w:val="both"/>
        <w:rPr>
          <w:sz w:val="24"/>
          <w:szCs w:val="24"/>
        </w:rPr>
      </w:pPr>
      <w:r>
        <w:rPr>
          <w:sz w:val="24"/>
          <w:szCs w:val="24"/>
        </w:rPr>
        <w:t>8</w:t>
      </w:r>
      <w:r w:rsidR="001C6F61" w:rsidRPr="001C6F61">
        <w:rPr>
          <w:sz w:val="24"/>
          <w:szCs w:val="24"/>
        </w:rPr>
        <w:t>.</w:t>
      </w:r>
      <w:r w:rsidR="00D96E90">
        <w:rPr>
          <w:sz w:val="24"/>
          <w:szCs w:val="24"/>
        </w:rPr>
        <w:t xml:space="preserve"> </w:t>
      </w:r>
      <w:proofErr w:type="spellStart"/>
      <w:r w:rsidR="001C6F61" w:rsidRPr="001C6F61">
        <w:rPr>
          <w:sz w:val="24"/>
          <w:szCs w:val="24"/>
        </w:rPr>
        <w:t>Римашевская</w:t>
      </w:r>
      <w:proofErr w:type="spellEnd"/>
      <w:r w:rsidR="001C6F61" w:rsidRPr="001C6F61">
        <w:rPr>
          <w:sz w:val="24"/>
          <w:szCs w:val="24"/>
        </w:rPr>
        <w:t>, Н.М. Детство как потенциал социально-демографического развития России // Народонаселение. 2011. № 2. С. 4–11.</w:t>
      </w:r>
    </w:p>
    <w:p w:rsidR="00076F1D" w:rsidRPr="004E103E" w:rsidRDefault="00842A89" w:rsidP="00092949">
      <w:pPr>
        <w:pStyle w:val="a4"/>
        <w:ind w:firstLine="709"/>
        <w:jc w:val="both"/>
        <w:rPr>
          <w:sz w:val="24"/>
          <w:szCs w:val="24"/>
          <w:lang w:val="en-US"/>
        </w:rPr>
      </w:pPr>
      <w:r>
        <w:rPr>
          <w:sz w:val="24"/>
          <w:szCs w:val="24"/>
        </w:rPr>
        <w:t>9</w:t>
      </w:r>
      <w:r w:rsidR="00076F1D" w:rsidRPr="001C6F61">
        <w:rPr>
          <w:sz w:val="24"/>
          <w:szCs w:val="24"/>
        </w:rPr>
        <w:t>.</w:t>
      </w:r>
      <w:r w:rsidR="00D96E90">
        <w:rPr>
          <w:sz w:val="24"/>
          <w:szCs w:val="24"/>
        </w:rPr>
        <w:t xml:space="preserve"> </w:t>
      </w:r>
      <w:proofErr w:type="spellStart"/>
      <w:r w:rsidR="00931628" w:rsidRPr="001C6F61">
        <w:rPr>
          <w:sz w:val="24"/>
          <w:szCs w:val="24"/>
        </w:rPr>
        <w:t>Чекмарева</w:t>
      </w:r>
      <w:proofErr w:type="spellEnd"/>
      <w:r w:rsidR="00931628" w:rsidRPr="001C6F61">
        <w:rPr>
          <w:sz w:val="24"/>
          <w:szCs w:val="24"/>
        </w:rPr>
        <w:t xml:space="preserve">, Е.А.. Экономико-математическое моделирование реализации трудового потенциала региона </w:t>
      </w:r>
      <w:proofErr w:type="gramStart"/>
      <w:r w:rsidR="00931628" w:rsidRPr="001C6F61">
        <w:rPr>
          <w:sz w:val="24"/>
          <w:szCs w:val="24"/>
        </w:rPr>
        <w:t>:д</w:t>
      </w:r>
      <w:proofErr w:type="gramEnd"/>
      <w:r w:rsidR="00931628" w:rsidRPr="001C6F61">
        <w:rPr>
          <w:sz w:val="24"/>
          <w:szCs w:val="24"/>
        </w:rPr>
        <w:t>иссертация кандидата экономических наук : 08.00.13 [Место защиты: Центр</w:t>
      </w:r>
      <w:proofErr w:type="gramStart"/>
      <w:r w:rsidR="00931628" w:rsidRPr="001C6F61">
        <w:rPr>
          <w:sz w:val="24"/>
          <w:szCs w:val="24"/>
        </w:rPr>
        <w:t>.</w:t>
      </w:r>
      <w:proofErr w:type="gramEnd"/>
      <w:r w:rsidR="00931628" w:rsidRPr="001C6F61">
        <w:rPr>
          <w:sz w:val="24"/>
          <w:szCs w:val="24"/>
        </w:rPr>
        <w:t xml:space="preserve"> </w:t>
      </w:r>
      <w:proofErr w:type="gramStart"/>
      <w:r w:rsidR="00931628" w:rsidRPr="001C6F61">
        <w:rPr>
          <w:sz w:val="24"/>
          <w:szCs w:val="24"/>
        </w:rPr>
        <w:t>э</w:t>
      </w:r>
      <w:proofErr w:type="gramEnd"/>
      <w:r w:rsidR="00931628" w:rsidRPr="001C6F61">
        <w:rPr>
          <w:sz w:val="24"/>
          <w:szCs w:val="24"/>
        </w:rPr>
        <w:t>коном.-мат. ин-т РАН (ЦЭМИ)]. Вологда</w:t>
      </w:r>
      <w:r w:rsidR="00931628" w:rsidRPr="004E103E">
        <w:rPr>
          <w:sz w:val="24"/>
          <w:szCs w:val="24"/>
          <w:lang w:val="en-US"/>
        </w:rPr>
        <w:t>, 2012.</w:t>
      </w:r>
      <w:r w:rsidR="00931628" w:rsidRPr="001C6F61">
        <w:rPr>
          <w:sz w:val="24"/>
          <w:szCs w:val="24"/>
        </w:rPr>
        <w:t>С</w:t>
      </w:r>
      <w:r w:rsidR="00931628" w:rsidRPr="004E103E">
        <w:rPr>
          <w:sz w:val="24"/>
          <w:szCs w:val="24"/>
          <w:lang w:val="en-US"/>
        </w:rPr>
        <w:t>.101–105</w:t>
      </w:r>
    </w:p>
    <w:p w:rsidR="00931628" w:rsidRDefault="00842A89" w:rsidP="00092949">
      <w:pPr>
        <w:ind w:firstLine="709"/>
        <w:contextualSpacing/>
        <w:jc w:val="both"/>
        <w:rPr>
          <w:rFonts w:eastAsiaTheme="minorHAnsi"/>
          <w:lang w:val="en-US" w:eastAsia="en-US"/>
        </w:rPr>
      </w:pPr>
      <w:r w:rsidRPr="00842A89">
        <w:rPr>
          <w:rFonts w:eastAsiaTheme="minorHAnsi"/>
          <w:lang w:val="en-US" w:eastAsia="en-US"/>
        </w:rPr>
        <w:t>10</w:t>
      </w:r>
      <w:r w:rsidR="001C6F61" w:rsidRPr="001C6F61">
        <w:rPr>
          <w:rFonts w:eastAsiaTheme="minorHAnsi"/>
          <w:lang w:val="en-US" w:eastAsia="en-US"/>
        </w:rPr>
        <w:t>. Ben-</w:t>
      </w:r>
      <w:proofErr w:type="spellStart"/>
      <w:r w:rsidR="001C6F61" w:rsidRPr="001C6F61">
        <w:rPr>
          <w:rFonts w:eastAsiaTheme="minorHAnsi"/>
          <w:lang w:val="en-US" w:eastAsia="en-US"/>
        </w:rPr>
        <w:t>Arieh</w:t>
      </w:r>
      <w:proofErr w:type="spellEnd"/>
      <w:r w:rsidR="001C6F61" w:rsidRPr="001C6F61">
        <w:rPr>
          <w:rFonts w:eastAsiaTheme="minorHAnsi"/>
          <w:lang w:val="en-US" w:eastAsia="en-US"/>
        </w:rPr>
        <w:t xml:space="preserve">, A. Indicators of Children's Well-Being: What should be measured and why? </w:t>
      </w:r>
      <w:proofErr w:type="spellStart"/>
      <w:proofErr w:type="gramStart"/>
      <w:r w:rsidR="001C6F61" w:rsidRPr="001C6F61">
        <w:rPr>
          <w:rFonts w:eastAsiaTheme="minorHAnsi"/>
          <w:lang w:val="en-US" w:eastAsia="en-US"/>
        </w:rPr>
        <w:t>A.Ben-Arieh</w:t>
      </w:r>
      <w:proofErr w:type="spellEnd"/>
      <w:r w:rsidR="001C6F61" w:rsidRPr="001C6F61">
        <w:rPr>
          <w:rFonts w:eastAsiaTheme="minorHAnsi"/>
          <w:lang w:val="en-US" w:eastAsia="en-US"/>
        </w:rPr>
        <w:t xml:space="preserve">, </w:t>
      </w:r>
      <w:proofErr w:type="spellStart"/>
      <w:r w:rsidR="001C6F61" w:rsidRPr="001C6F61">
        <w:rPr>
          <w:rFonts w:eastAsiaTheme="minorHAnsi"/>
          <w:lang w:val="en-US" w:eastAsia="en-US"/>
        </w:rPr>
        <w:t>I.Frones</w:t>
      </w:r>
      <w:proofErr w:type="spellEnd"/>
      <w:r w:rsidR="001C6F61" w:rsidRPr="001C6F61">
        <w:rPr>
          <w:rFonts w:eastAsiaTheme="minorHAnsi"/>
          <w:lang w:val="en-US" w:eastAsia="en-US"/>
        </w:rPr>
        <w:t xml:space="preserve"> //Social Indicator Research.</w:t>
      </w:r>
      <w:proofErr w:type="gramEnd"/>
      <w:r w:rsidR="001C6F61" w:rsidRPr="001C6F61">
        <w:rPr>
          <w:rFonts w:eastAsiaTheme="minorHAnsi"/>
          <w:lang w:val="en-US" w:eastAsia="en-US"/>
        </w:rPr>
        <w:t xml:space="preserve"> 2007</w:t>
      </w:r>
      <w:proofErr w:type="gramStart"/>
      <w:r w:rsidR="001C6F61" w:rsidRPr="001C6F61">
        <w:rPr>
          <w:rFonts w:eastAsiaTheme="minorHAnsi"/>
          <w:lang w:val="en-US" w:eastAsia="en-US"/>
        </w:rPr>
        <w:t>.Vol</w:t>
      </w:r>
      <w:proofErr w:type="gramEnd"/>
      <w:r w:rsidR="001C6F61" w:rsidRPr="001C6F61">
        <w:rPr>
          <w:rFonts w:eastAsiaTheme="minorHAnsi"/>
          <w:lang w:val="en-US" w:eastAsia="en-US"/>
        </w:rPr>
        <w:t>. 84. P. 249–250.</w:t>
      </w:r>
    </w:p>
    <w:p w:rsidR="001D2261" w:rsidRPr="001C6F61" w:rsidRDefault="001D2261" w:rsidP="00092949">
      <w:pPr>
        <w:ind w:firstLine="709"/>
        <w:contextualSpacing/>
        <w:jc w:val="both"/>
        <w:rPr>
          <w:rFonts w:eastAsiaTheme="minorHAnsi"/>
          <w:lang w:val="en-US" w:eastAsia="en-US"/>
        </w:rPr>
      </w:pPr>
    </w:p>
    <w:p w:rsidR="004E103E" w:rsidRPr="008609DF" w:rsidRDefault="004E103E" w:rsidP="004E103E">
      <w:pPr>
        <w:pStyle w:val="a4"/>
        <w:jc w:val="center"/>
        <w:rPr>
          <w:sz w:val="24"/>
          <w:szCs w:val="24"/>
        </w:rPr>
      </w:pPr>
      <w:r w:rsidRPr="008609DF">
        <w:rPr>
          <w:sz w:val="24"/>
          <w:szCs w:val="24"/>
        </w:rPr>
        <w:t>Информация об авторе:</w:t>
      </w:r>
    </w:p>
    <w:p w:rsidR="00931628" w:rsidRDefault="004E103E" w:rsidP="004E103E">
      <w:pPr>
        <w:pStyle w:val="a4"/>
        <w:ind w:firstLine="709"/>
        <w:rPr>
          <w:sz w:val="24"/>
          <w:szCs w:val="24"/>
        </w:rPr>
      </w:pPr>
      <w:r w:rsidRPr="004E103E">
        <w:rPr>
          <w:sz w:val="24"/>
          <w:szCs w:val="24"/>
        </w:rPr>
        <w:t xml:space="preserve">Разварина Ирина Николаевна (Россия, Вологда) – младший научный сотрудник лаборатории исследования проблем управления социальной сфере отдела исследования уровня и образа жизни населения Федеральное государственное бюджетное учреждение науки «Вологодский научный центр Российской академии Наук» (ФГБУН </w:t>
      </w:r>
      <w:proofErr w:type="spellStart"/>
      <w:r w:rsidRPr="004E103E">
        <w:rPr>
          <w:sz w:val="24"/>
          <w:szCs w:val="24"/>
        </w:rPr>
        <w:t>ВолНЦ</w:t>
      </w:r>
      <w:proofErr w:type="spellEnd"/>
      <w:r w:rsidRPr="004E103E">
        <w:rPr>
          <w:sz w:val="24"/>
          <w:szCs w:val="24"/>
        </w:rPr>
        <w:t xml:space="preserve"> РАН), </w:t>
      </w:r>
      <w:hyperlink r:id="rId9" w:history="1">
        <w:r w:rsidRPr="00CB2B21">
          <w:rPr>
            <w:rStyle w:val="a3"/>
            <w:sz w:val="24"/>
            <w:szCs w:val="24"/>
            <w:lang w:val="en-US"/>
          </w:rPr>
          <w:t>irina</w:t>
        </w:r>
        <w:r w:rsidRPr="00CB2B21">
          <w:rPr>
            <w:rStyle w:val="a3"/>
            <w:sz w:val="24"/>
            <w:szCs w:val="24"/>
          </w:rPr>
          <w:t>.</w:t>
        </w:r>
        <w:r w:rsidRPr="00CB2B21">
          <w:rPr>
            <w:rStyle w:val="a3"/>
            <w:sz w:val="24"/>
            <w:szCs w:val="24"/>
            <w:lang w:val="en-US"/>
          </w:rPr>
          <w:t>razvarina</w:t>
        </w:r>
        <w:r w:rsidRPr="00CB2B21">
          <w:rPr>
            <w:rStyle w:val="a3"/>
            <w:sz w:val="24"/>
            <w:szCs w:val="24"/>
          </w:rPr>
          <w:t>@</w:t>
        </w:r>
        <w:r w:rsidRPr="00CB2B21">
          <w:rPr>
            <w:rStyle w:val="a3"/>
            <w:sz w:val="24"/>
            <w:szCs w:val="24"/>
            <w:lang w:val="en-US"/>
          </w:rPr>
          <w:t>mail</w:t>
        </w:r>
        <w:r w:rsidRPr="00CB2B21">
          <w:rPr>
            <w:rStyle w:val="a3"/>
            <w:sz w:val="24"/>
            <w:szCs w:val="24"/>
          </w:rPr>
          <w:t>.</w:t>
        </w:r>
        <w:proofErr w:type="spellStart"/>
        <w:r w:rsidRPr="00CB2B21">
          <w:rPr>
            <w:rStyle w:val="a3"/>
            <w:sz w:val="24"/>
            <w:szCs w:val="24"/>
            <w:lang w:val="en-US"/>
          </w:rPr>
          <w:t>ru</w:t>
        </w:r>
        <w:proofErr w:type="spellEnd"/>
      </w:hyperlink>
    </w:p>
    <w:p w:rsidR="004E103E" w:rsidRDefault="004E103E" w:rsidP="004E103E">
      <w:pPr>
        <w:pStyle w:val="a4"/>
        <w:ind w:firstLine="709"/>
        <w:rPr>
          <w:sz w:val="24"/>
          <w:szCs w:val="24"/>
        </w:rPr>
      </w:pPr>
    </w:p>
    <w:p w:rsidR="004E103E" w:rsidRPr="008609DF" w:rsidRDefault="004E103E" w:rsidP="004E103E">
      <w:pPr>
        <w:pStyle w:val="a4"/>
        <w:ind w:firstLine="709"/>
        <w:jc w:val="right"/>
        <w:rPr>
          <w:sz w:val="24"/>
          <w:szCs w:val="24"/>
          <w:lang w:val="en-US"/>
        </w:rPr>
      </w:pPr>
      <w:proofErr w:type="spellStart"/>
      <w:r w:rsidRPr="008609DF">
        <w:rPr>
          <w:sz w:val="24"/>
          <w:szCs w:val="24"/>
          <w:lang w:val="en-US"/>
        </w:rPr>
        <w:t>Razvarina</w:t>
      </w:r>
      <w:proofErr w:type="spellEnd"/>
      <w:r w:rsidRPr="008609DF">
        <w:rPr>
          <w:sz w:val="24"/>
          <w:szCs w:val="24"/>
          <w:lang w:val="en-US"/>
        </w:rPr>
        <w:t xml:space="preserve"> I.N.</w:t>
      </w:r>
    </w:p>
    <w:p w:rsidR="00092949" w:rsidRPr="00092949" w:rsidRDefault="00092949" w:rsidP="00092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lang w:val="en-US"/>
        </w:rPr>
      </w:pPr>
      <w:r w:rsidRPr="00092949">
        <w:rPr>
          <w:color w:val="212121"/>
          <w:lang w:val="en"/>
        </w:rPr>
        <w:t>RESULTS OF APPROBATION METHODS OF ASSESSMENT OF LABOR POTENTIAL OF CHILDREN</w:t>
      </w:r>
    </w:p>
    <w:p w:rsidR="00092949" w:rsidRPr="008609DF" w:rsidRDefault="00092949" w:rsidP="00092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lang w:val="en-US"/>
        </w:rPr>
      </w:pPr>
      <w:proofErr w:type="gramStart"/>
      <w:r w:rsidRPr="00092949">
        <w:rPr>
          <w:color w:val="212121"/>
          <w:lang w:val="en"/>
        </w:rPr>
        <w:t>Annotation.</w:t>
      </w:r>
      <w:proofErr w:type="gramEnd"/>
      <w:r w:rsidRPr="00092949">
        <w:rPr>
          <w:color w:val="212121"/>
          <w:lang w:val="en"/>
        </w:rPr>
        <w:t xml:space="preserve"> The publication presents the results of approbation of the methodology for assessing the readiness for the realization of the labor potential of children aged 14-17 years in the Vologda Oblast. It allows, on the basis of an assessment of the state of health, level of education and communicative competence, to give an idea of ​​the formation of the main elements of the future labor potential in adolescents.</w:t>
      </w:r>
    </w:p>
    <w:p w:rsidR="00092949" w:rsidRPr="00092949" w:rsidRDefault="00092949" w:rsidP="00092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lang w:val="en-US"/>
        </w:rPr>
      </w:pPr>
      <w:r w:rsidRPr="00092949">
        <w:rPr>
          <w:color w:val="212121"/>
          <w:lang w:val="en"/>
        </w:rPr>
        <w:t>Keywords: labor potential of children, readiness for effective implementation.</w:t>
      </w:r>
    </w:p>
    <w:p w:rsidR="00092949" w:rsidRPr="00092949" w:rsidRDefault="00092949" w:rsidP="00092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rPr>
      </w:pPr>
    </w:p>
    <w:p w:rsidR="00092949" w:rsidRPr="00092949" w:rsidRDefault="00092949" w:rsidP="00092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lang w:val="en-US"/>
        </w:rPr>
      </w:pPr>
      <w:r w:rsidRPr="00092949">
        <w:rPr>
          <w:color w:val="212121"/>
          <w:lang w:val="en-US"/>
        </w:rPr>
        <w:t>Information about the Author</w:t>
      </w:r>
    </w:p>
    <w:p w:rsidR="00092949" w:rsidRPr="008609DF" w:rsidRDefault="00092949" w:rsidP="00092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lang w:val="en-US"/>
        </w:rPr>
      </w:pPr>
      <w:proofErr w:type="spellStart"/>
      <w:r w:rsidRPr="00092949">
        <w:rPr>
          <w:color w:val="212121"/>
          <w:lang w:val="en-US"/>
        </w:rPr>
        <w:t>Razvarina</w:t>
      </w:r>
      <w:proofErr w:type="spellEnd"/>
      <w:r w:rsidRPr="00092949">
        <w:rPr>
          <w:color w:val="212121"/>
          <w:lang w:val="en-US"/>
        </w:rPr>
        <w:t xml:space="preserve"> Irina </w:t>
      </w:r>
      <w:proofErr w:type="spellStart"/>
      <w:r w:rsidRPr="00092949">
        <w:rPr>
          <w:color w:val="212121"/>
          <w:lang w:val="en-US"/>
        </w:rPr>
        <w:t>Nikolaevna</w:t>
      </w:r>
      <w:proofErr w:type="spellEnd"/>
      <w:r w:rsidRPr="00092949">
        <w:rPr>
          <w:color w:val="212121"/>
          <w:lang w:val="en-US"/>
        </w:rPr>
        <w:t xml:space="preserve"> (Russia, Vologda) – Junior Researcher of the Laboratory for Research of the Problems of Social Sphere Management of the Department for the Study of the Level and Lifestyles of the Population Federal State Budget Institution of Science “Vologda Scientific Center of the Russian Academy of Sciences” (FSBIS </w:t>
      </w:r>
      <w:proofErr w:type="spellStart"/>
      <w:r w:rsidRPr="00092949">
        <w:rPr>
          <w:color w:val="212121"/>
          <w:lang w:val="en-US"/>
        </w:rPr>
        <w:t>VolSC</w:t>
      </w:r>
      <w:proofErr w:type="spellEnd"/>
      <w:r w:rsidRPr="00092949">
        <w:rPr>
          <w:color w:val="212121"/>
          <w:lang w:val="en-US"/>
        </w:rPr>
        <w:t xml:space="preserve"> of RAS), </w:t>
      </w:r>
      <w:proofErr w:type="spellStart"/>
      <w:r w:rsidRPr="00092949">
        <w:rPr>
          <w:color w:val="212121"/>
          <w:lang w:val="en-US"/>
        </w:rPr>
        <w:t>irina.razvarina@mail</w:t>
      </w:r>
      <w:proofErr w:type="spellEnd"/>
      <w:r w:rsidRPr="00092949">
        <w:rPr>
          <w:color w:val="212121"/>
          <w:lang w:val="en-US"/>
        </w:rPr>
        <w:t xml:space="preserve">. </w:t>
      </w:r>
      <w:r w:rsidR="003136DB" w:rsidRPr="00092949">
        <w:rPr>
          <w:color w:val="212121"/>
          <w:lang w:val="en-US"/>
        </w:rPr>
        <w:t>R</w:t>
      </w:r>
      <w:r w:rsidRPr="00092949">
        <w:rPr>
          <w:color w:val="212121"/>
          <w:lang w:val="en-US"/>
        </w:rPr>
        <w:t>u</w:t>
      </w:r>
    </w:p>
    <w:p w:rsidR="003136DB" w:rsidRPr="008609DF" w:rsidRDefault="003136DB" w:rsidP="00092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lang w:val="en-US"/>
        </w:rPr>
      </w:pPr>
    </w:p>
    <w:p w:rsidR="003136DB" w:rsidRPr="008609DF" w:rsidRDefault="003136DB" w:rsidP="003136DB">
      <w:pPr>
        <w:pStyle w:val="a4"/>
        <w:ind w:firstLine="709"/>
        <w:jc w:val="center"/>
        <w:rPr>
          <w:color w:val="212121"/>
          <w:sz w:val="24"/>
          <w:szCs w:val="24"/>
          <w:shd w:val="clear" w:color="auto" w:fill="FFFFFF"/>
          <w:lang w:val="en-US"/>
        </w:rPr>
      </w:pPr>
      <w:r w:rsidRPr="003136DB">
        <w:rPr>
          <w:color w:val="212121"/>
          <w:sz w:val="24"/>
          <w:szCs w:val="24"/>
          <w:shd w:val="clear" w:color="auto" w:fill="FFFFFF"/>
          <w:lang w:val="en-US"/>
        </w:rPr>
        <w:t>Bibliographic list:</w:t>
      </w:r>
    </w:p>
    <w:p w:rsidR="003136DB" w:rsidRPr="008609DF" w:rsidRDefault="003136DB" w:rsidP="003136DB">
      <w:pPr>
        <w:pStyle w:val="a4"/>
        <w:ind w:firstLine="709"/>
        <w:jc w:val="both"/>
        <w:rPr>
          <w:color w:val="212121"/>
          <w:sz w:val="24"/>
          <w:szCs w:val="24"/>
          <w:shd w:val="clear" w:color="auto" w:fill="FFFFFF"/>
          <w:lang w:val="en-US"/>
        </w:rPr>
      </w:pPr>
      <w:r w:rsidRPr="003136DB">
        <w:rPr>
          <w:color w:val="212121"/>
          <w:sz w:val="24"/>
          <w:szCs w:val="24"/>
          <w:shd w:val="clear" w:color="auto" w:fill="FFFFFF"/>
          <w:lang w:val="en-US"/>
        </w:rPr>
        <w:t xml:space="preserve">1. The quality of labor potential in the regions of Russia is at hand. </w:t>
      </w:r>
      <w:proofErr w:type="gramStart"/>
      <w:r w:rsidRPr="003136DB">
        <w:rPr>
          <w:color w:val="212121"/>
          <w:sz w:val="24"/>
          <w:szCs w:val="24"/>
          <w:shd w:val="clear" w:color="auto" w:fill="FFFFFF"/>
          <w:lang w:val="en-US"/>
        </w:rPr>
        <w:t xml:space="preserve">Doctor of Economics N.M. </w:t>
      </w:r>
      <w:proofErr w:type="spellStart"/>
      <w:r w:rsidRPr="003136DB">
        <w:rPr>
          <w:color w:val="212121"/>
          <w:sz w:val="24"/>
          <w:szCs w:val="24"/>
          <w:shd w:val="clear" w:color="auto" w:fill="FFFFFF"/>
          <w:lang w:val="en-US"/>
        </w:rPr>
        <w:t>Rimashevskoy</w:t>
      </w:r>
      <w:proofErr w:type="spellEnd"/>
      <w:r w:rsidRPr="003136DB">
        <w:rPr>
          <w:color w:val="212121"/>
          <w:sz w:val="24"/>
          <w:szCs w:val="24"/>
          <w:shd w:val="clear" w:color="auto" w:fill="FFFFFF"/>
          <w:lang w:val="en-US"/>
        </w:rPr>
        <w:t xml:space="preserve"> / Population.</w:t>
      </w:r>
      <w:proofErr w:type="gramEnd"/>
      <w:r w:rsidRPr="003136DB">
        <w:rPr>
          <w:color w:val="212121"/>
          <w:sz w:val="24"/>
          <w:szCs w:val="24"/>
          <w:shd w:val="clear" w:color="auto" w:fill="FFFFFF"/>
          <w:lang w:val="en-US"/>
        </w:rPr>
        <w:t xml:space="preserve"> 2012. № 3. P. 111–127.1 </w:t>
      </w:r>
    </w:p>
    <w:p w:rsidR="003136DB" w:rsidRPr="003136DB" w:rsidRDefault="003136DB" w:rsidP="003136DB">
      <w:pPr>
        <w:pStyle w:val="a4"/>
        <w:ind w:firstLine="709"/>
        <w:jc w:val="both"/>
        <w:rPr>
          <w:color w:val="212121"/>
          <w:sz w:val="24"/>
          <w:szCs w:val="24"/>
          <w:shd w:val="clear" w:color="auto" w:fill="FFFFFF"/>
          <w:lang w:val="en-US"/>
        </w:rPr>
      </w:pPr>
      <w:r w:rsidRPr="003136DB">
        <w:rPr>
          <w:color w:val="212121"/>
          <w:sz w:val="24"/>
          <w:szCs w:val="24"/>
          <w:shd w:val="clear" w:color="auto" w:fill="FFFFFF"/>
          <w:lang w:val="en-US"/>
        </w:rPr>
        <w:t xml:space="preserve">2. The concept of long-term socio-economic development of the Russian Federation for the period up to 2020 approved. Decree of the Government of the Russian Federation from 17 Nov. 2008 № 1662-p. [Electronic resource]: Access mode: </w:t>
      </w:r>
      <w:hyperlink r:id="rId10" w:history="1">
        <w:r w:rsidRPr="003136DB">
          <w:rPr>
            <w:rStyle w:val="a3"/>
            <w:sz w:val="24"/>
            <w:szCs w:val="24"/>
            <w:shd w:val="clear" w:color="auto" w:fill="FFFFFF"/>
            <w:lang w:val="en-US"/>
          </w:rPr>
          <w:t>http://www.ifap.ru/ofdocs/rus/rus006.pdf</w:t>
        </w:r>
      </w:hyperlink>
      <w:r w:rsidRPr="003136DB">
        <w:rPr>
          <w:color w:val="212121"/>
          <w:sz w:val="24"/>
          <w:szCs w:val="24"/>
          <w:shd w:val="clear" w:color="auto" w:fill="FFFFFF"/>
          <w:lang w:val="en-US"/>
        </w:rPr>
        <w:t>.</w:t>
      </w:r>
    </w:p>
    <w:p w:rsidR="00092949" w:rsidRPr="008609DF" w:rsidRDefault="003136DB" w:rsidP="003136DB">
      <w:pPr>
        <w:pStyle w:val="a4"/>
        <w:ind w:firstLine="709"/>
        <w:jc w:val="both"/>
        <w:rPr>
          <w:color w:val="212121"/>
          <w:sz w:val="24"/>
          <w:szCs w:val="24"/>
          <w:shd w:val="clear" w:color="auto" w:fill="FFFFFF"/>
          <w:lang w:val="en-US"/>
        </w:rPr>
      </w:pPr>
      <w:r w:rsidRPr="003136DB">
        <w:rPr>
          <w:color w:val="212121"/>
          <w:sz w:val="24"/>
          <w:szCs w:val="24"/>
          <w:shd w:val="clear" w:color="auto" w:fill="FFFFFF"/>
          <w:lang w:val="en-US"/>
        </w:rPr>
        <w:t xml:space="preserve">3. </w:t>
      </w:r>
      <w:proofErr w:type="spellStart"/>
      <w:r w:rsidRPr="003136DB">
        <w:rPr>
          <w:color w:val="212121"/>
          <w:sz w:val="24"/>
          <w:szCs w:val="24"/>
          <w:shd w:val="clear" w:color="auto" w:fill="FFFFFF"/>
          <w:lang w:val="en-US"/>
        </w:rPr>
        <w:t>Leonidova</w:t>
      </w:r>
      <w:proofErr w:type="spellEnd"/>
      <w:r w:rsidRPr="003136DB">
        <w:rPr>
          <w:color w:val="212121"/>
          <w:sz w:val="24"/>
          <w:szCs w:val="24"/>
          <w:shd w:val="clear" w:color="auto" w:fill="FFFFFF"/>
          <w:lang w:val="en-US"/>
        </w:rPr>
        <w:t xml:space="preserve">, G.V. The generation of knowledge of talented youth in the interests of the intellectualization of human capital: methods and forms of implementation // Economic and social changes: facts, trends, forecast 2011. </w:t>
      </w:r>
      <w:proofErr w:type="gramStart"/>
      <w:r w:rsidRPr="003136DB">
        <w:rPr>
          <w:color w:val="212121"/>
          <w:sz w:val="24"/>
          <w:szCs w:val="24"/>
          <w:shd w:val="clear" w:color="auto" w:fill="FFFFFF"/>
          <w:lang w:val="en-US"/>
        </w:rPr>
        <w:t>№1 (13).</w:t>
      </w:r>
      <w:proofErr w:type="gramEnd"/>
      <w:r w:rsidRPr="003136DB">
        <w:rPr>
          <w:color w:val="212121"/>
          <w:sz w:val="24"/>
          <w:szCs w:val="24"/>
          <w:shd w:val="clear" w:color="auto" w:fill="FFFFFF"/>
          <w:lang w:val="en-US"/>
        </w:rPr>
        <w:t xml:space="preserve"> Pp. 90–100.</w:t>
      </w:r>
    </w:p>
    <w:p w:rsidR="003136DB" w:rsidRPr="008609DF" w:rsidRDefault="003136DB" w:rsidP="003136DB">
      <w:pPr>
        <w:pStyle w:val="a4"/>
        <w:ind w:firstLine="709"/>
        <w:jc w:val="both"/>
        <w:rPr>
          <w:color w:val="212121"/>
          <w:sz w:val="24"/>
          <w:szCs w:val="24"/>
          <w:shd w:val="clear" w:color="auto" w:fill="FFFFFF"/>
          <w:lang w:val="en-US"/>
        </w:rPr>
      </w:pPr>
      <w:r w:rsidRPr="003136DB">
        <w:rPr>
          <w:color w:val="212121"/>
          <w:sz w:val="24"/>
          <w:szCs w:val="24"/>
          <w:shd w:val="clear" w:color="auto" w:fill="FFFFFF"/>
          <w:lang w:val="en-US"/>
        </w:rPr>
        <w:lastRenderedPageBreak/>
        <w:t xml:space="preserve">4. </w:t>
      </w:r>
      <w:proofErr w:type="spellStart"/>
      <w:r w:rsidRPr="003136DB">
        <w:rPr>
          <w:color w:val="212121"/>
          <w:sz w:val="24"/>
          <w:szCs w:val="24"/>
          <w:shd w:val="clear" w:color="auto" w:fill="FFFFFF"/>
          <w:lang w:val="en-US"/>
        </w:rPr>
        <w:t>Leonidova</w:t>
      </w:r>
      <w:proofErr w:type="spellEnd"/>
      <w:r w:rsidRPr="003136DB">
        <w:rPr>
          <w:color w:val="212121"/>
          <w:sz w:val="24"/>
          <w:szCs w:val="24"/>
          <w:shd w:val="clear" w:color="auto" w:fill="FFFFFF"/>
          <w:lang w:val="en-US"/>
        </w:rPr>
        <w:t xml:space="preserve">, G.V. Labor potential: territorial aspects of the qualitative state // Problems of territory development. 2013. № 3 (65). P. 60 </w:t>
      </w:r>
    </w:p>
    <w:p w:rsidR="003136DB" w:rsidRPr="003136DB" w:rsidRDefault="001D2261" w:rsidP="003136DB">
      <w:pPr>
        <w:pStyle w:val="a4"/>
        <w:ind w:firstLine="709"/>
        <w:jc w:val="both"/>
        <w:rPr>
          <w:color w:val="212121"/>
          <w:sz w:val="24"/>
          <w:szCs w:val="24"/>
          <w:shd w:val="clear" w:color="auto" w:fill="FFFFFF"/>
          <w:lang w:val="en-US"/>
        </w:rPr>
      </w:pPr>
      <w:r>
        <w:rPr>
          <w:color w:val="212121"/>
          <w:sz w:val="24"/>
          <w:szCs w:val="24"/>
          <w:shd w:val="clear" w:color="auto" w:fill="FFFFFF"/>
          <w:lang w:val="en-US"/>
        </w:rPr>
        <w:t>5</w:t>
      </w:r>
      <w:r w:rsidR="003136DB" w:rsidRPr="003136DB">
        <w:rPr>
          <w:color w:val="212121"/>
          <w:sz w:val="24"/>
          <w:szCs w:val="24"/>
          <w:shd w:val="clear" w:color="auto" w:fill="FFFFFF"/>
          <w:lang w:val="en-US"/>
        </w:rPr>
        <w:t xml:space="preserve">. </w:t>
      </w:r>
      <w:proofErr w:type="spellStart"/>
      <w:r w:rsidR="003136DB" w:rsidRPr="003136DB">
        <w:rPr>
          <w:color w:val="212121"/>
          <w:sz w:val="24"/>
          <w:szCs w:val="24"/>
          <w:shd w:val="clear" w:color="auto" w:fill="FFFFFF"/>
          <w:lang w:val="en-US"/>
        </w:rPr>
        <w:t>Obrazhey</w:t>
      </w:r>
      <w:proofErr w:type="spellEnd"/>
      <w:r w:rsidR="003136DB" w:rsidRPr="003136DB">
        <w:rPr>
          <w:color w:val="212121"/>
          <w:sz w:val="24"/>
          <w:szCs w:val="24"/>
          <w:shd w:val="clear" w:color="auto" w:fill="FFFFFF"/>
          <w:lang w:val="en-US"/>
        </w:rPr>
        <w:t>, ON Childhood as an object of sociological study of the URL http://cyberleninka.ru/article/n/detstvo-kak-obekt-sotsiologicheskogo-izucheniya (circulation date 20.06.2018).</w:t>
      </w:r>
    </w:p>
    <w:p w:rsidR="003136DB" w:rsidRPr="008609DF" w:rsidRDefault="001D2261" w:rsidP="003136DB">
      <w:pPr>
        <w:pStyle w:val="a4"/>
        <w:ind w:firstLine="709"/>
        <w:jc w:val="both"/>
        <w:rPr>
          <w:color w:val="212121"/>
          <w:sz w:val="24"/>
          <w:szCs w:val="24"/>
          <w:shd w:val="clear" w:color="auto" w:fill="FFFFFF"/>
          <w:lang w:val="en-US"/>
        </w:rPr>
      </w:pPr>
      <w:r>
        <w:rPr>
          <w:color w:val="212121"/>
          <w:sz w:val="24"/>
          <w:szCs w:val="24"/>
          <w:shd w:val="clear" w:color="auto" w:fill="FFFFFF"/>
          <w:lang w:val="en-US"/>
        </w:rPr>
        <w:t>6</w:t>
      </w:r>
      <w:r w:rsidR="003136DB" w:rsidRPr="003136DB">
        <w:rPr>
          <w:color w:val="212121"/>
          <w:sz w:val="24"/>
          <w:szCs w:val="24"/>
          <w:shd w:val="clear" w:color="auto" w:fill="FFFFFF"/>
          <w:lang w:val="en-US"/>
        </w:rPr>
        <w:t xml:space="preserve">. Problems of public administration efficiency. Human capital of the territories: problems of formation and use: monograph; under total ed. A. A. </w:t>
      </w:r>
      <w:proofErr w:type="spellStart"/>
      <w:r w:rsidR="003136DB" w:rsidRPr="003136DB">
        <w:rPr>
          <w:color w:val="212121"/>
          <w:sz w:val="24"/>
          <w:szCs w:val="24"/>
          <w:shd w:val="clear" w:color="auto" w:fill="FFFFFF"/>
          <w:lang w:val="en-US"/>
        </w:rPr>
        <w:t>Shabunova</w:t>
      </w:r>
      <w:proofErr w:type="spellEnd"/>
      <w:r w:rsidR="003136DB" w:rsidRPr="003136DB">
        <w:rPr>
          <w:color w:val="212121"/>
          <w:sz w:val="24"/>
          <w:szCs w:val="24"/>
          <w:shd w:val="clear" w:color="auto" w:fill="FFFFFF"/>
          <w:lang w:val="en-US"/>
        </w:rPr>
        <w:t>. Vologda: Institute of Socio-Economic Development of the Territories of the Russian Academy of Sciences, 2013. P. 39–45.</w:t>
      </w:r>
    </w:p>
    <w:p w:rsidR="00842A89" w:rsidRPr="00842A89" w:rsidRDefault="00842A89" w:rsidP="003136DB">
      <w:pPr>
        <w:pStyle w:val="a4"/>
        <w:ind w:firstLine="709"/>
        <w:jc w:val="both"/>
        <w:rPr>
          <w:color w:val="212121"/>
          <w:sz w:val="24"/>
          <w:szCs w:val="24"/>
          <w:shd w:val="clear" w:color="auto" w:fill="FFFFFF"/>
          <w:lang w:val="en-US"/>
        </w:rPr>
      </w:pPr>
      <w:r>
        <w:rPr>
          <w:color w:val="212121"/>
          <w:sz w:val="24"/>
          <w:szCs w:val="24"/>
          <w:shd w:val="clear" w:color="auto" w:fill="FFFFFF"/>
          <w:lang w:val="en-US"/>
        </w:rPr>
        <w:t>7.</w:t>
      </w:r>
      <w:r w:rsidRPr="00842A89">
        <w:rPr>
          <w:color w:val="212121"/>
          <w:sz w:val="24"/>
          <w:szCs w:val="24"/>
          <w:shd w:val="clear" w:color="auto" w:fill="FFFFFF"/>
          <w:lang w:val="en-US"/>
        </w:rPr>
        <w:t xml:space="preserve"> </w:t>
      </w:r>
      <w:proofErr w:type="spellStart"/>
      <w:r w:rsidRPr="00842A89">
        <w:rPr>
          <w:color w:val="212121"/>
          <w:sz w:val="24"/>
          <w:szCs w:val="24"/>
          <w:shd w:val="clear" w:color="auto" w:fill="FFFFFF"/>
          <w:lang w:val="en-US"/>
        </w:rPr>
        <w:t>Razvarin</w:t>
      </w:r>
      <w:proofErr w:type="spellEnd"/>
      <w:r>
        <w:rPr>
          <w:color w:val="212121"/>
          <w:sz w:val="24"/>
          <w:szCs w:val="24"/>
          <w:shd w:val="clear" w:color="auto" w:fill="FFFFFF"/>
        </w:rPr>
        <w:t>а</w:t>
      </w:r>
      <w:r w:rsidRPr="00842A89">
        <w:rPr>
          <w:color w:val="212121"/>
          <w:sz w:val="24"/>
          <w:szCs w:val="24"/>
          <w:shd w:val="clear" w:color="auto" w:fill="FFFFFF"/>
          <w:lang w:val="en-US"/>
        </w:rPr>
        <w:t xml:space="preserve"> I.N. The results of the study on the methodology for assessing the readiness of children of 14–17 years to realize their labor potential // Social Space. </w:t>
      </w:r>
      <w:proofErr w:type="gramStart"/>
      <w:r w:rsidRPr="00842A89">
        <w:rPr>
          <w:color w:val="212121"/>
          <w:sz w:val="24"/>
          <w:szCs w:val="24"/>
          <w:shd w:val="clear" w:color="auto" w:fill="FFFFFF"/>
          <w:lang w:val="en-US"/>
        </w:rPr>
        <w:t>2018. No. 4 (16).</w:t>
      </w:r>
      <w:proofErr w:type="gramEnd"/>
      <w:r w:rsidRPr="00842A89">
        <w:rPr>
          <w:color w:val="212121"/>
          <w:sz w:val="24"/>
          <w:szCs w:val="24"/>
          <w:shd w:val="clear" w:color="auto" w:fill="FFFFFF"/>
          <w:lang w:val="en-US"/>
        </w:rPr>
        <w:t xml:space="preserve"> DOI: 10.15838 / </w:t>
      </w:r>
      <w:proofErr w:type="spellStart"/>
      <w:proofErr w:type="gramStart"/>
      <w:r w:rsidRPr="00842A89">
        <w:rPr>
          <w:color w:val="212121"/>
          <w:sz w:val="24"/>
          <w:szCs w:val="24"/>
          <w:shd w:val="clear" w:color="auto" w:fill="FFFFFF"/>
          <w:lang w:val="en-US"/>
        </w:rPr>
        <w:t>sa</w:t>
      </w:r>
      <w:proofErr w:type="spellEnd"/>
      <w:proofErr w:type="gramEnd"/>
      <w:r w:rsidRPr="00842A89">
        <w:rPr>
          <w:color w:val="212121"/>
          <w:sz w:val="24"/>
          <w:szCs w:val="24"/>
          <w:shd w:val="clear" w:color="auto" w:fill="FFFFFF"/>
          <w:lang w:val="en-US"/>
        </w:rPr>
        <w:t xml:space="preserve"> / 2018.4.16.2</w:t>
      </w:r>
    </w:p>
    <w:p w:rsidR="003136DB" w:rsidRPr="008609DF" w:rsidRDefault="00842A89" w:rsidP="003136DB">
      <w:pPr>
        <w:pStyle w:val="a4"/>
        <w:ind w:firstLine="709"/>
        <w:jc w:val="both"/>
        <w:rPr>
          <w:color w:val="212121"/>
          <w:sz w:val="24"/>
          <w:szCs w:val="24"/>
          <w:shd w:val="clear" w:color="auto" w:fill="FFFFFF"/>
          <w:lang w:val="en-US"/>
        </w:rPr>
      </w:pPr>
      <w:r w:rsidRPr="00842A89">
        <w:rPr>
          <w:color w:val="212121"/>
          <w:sz w:val="24"/>
          <w:szCs w:val="24"/>
          <w:shd w:val="clear" w:color="auto" w:fill="FFFFFF"/>
          <w:lang w:val="en-US"/>
        </w:rPr>
        <w:t>8</w:t>
      </w:r>
      <w:r w:rsidR="003136DB" w:rsidRPr="003136DB">
        <w:rPr>
          <w:color w:val="212121"/>
          <w:sz w:val="24"/>
          <w:szCs w:val="24"/>
          <w:shd w:val="clear" w:color="auto" w:fill="FFFFFF"/>
          <w:lang w:val="en-US"/>
        </w:rPr>
        <w:t xml:space="preserve">. </w:t>
      </w:r>
      <w:proofErr w:type="spellStart"/>
      <w:r w:rsidR="003136DB" w:rsidRPr="003136DB">
        <w:rPr>
          <w:color w:val="212121"/>
          <w:sz w:val="24"/>
          <w:szCs w:val="24"/>
          <w:shd w:val="clear" w:color="auto" w:fill="FFFFFF"/>
          <w:lang w:val="en-US"/>
        </w:rPr>
        <w:t>Rimashevskaya</w:t>
      </w:r>
      <w:proofErr w:type="spellEnd"/>
      <w:r w:rsidR="003136DB" w:rsidRPr="003136DB">
        <w:rPr>
          <w:color w:val="212121"/>
          <w:sz w:val="24"/>
          <w:szCs w:val="24"/>
          <w:shd w:val="clear" w:color="auto" w:fill="FFFFFF"/>
          <w:lang w:val="en-US"/>
        </w:rPr>
        <w:t xml:space="preserve">, N.M. Childhood as a potential of socio-demographic development of Russia // Population. </w:t>
      </w:r>
      <w:proofErr w:type="gramStart"/>
      <w:r w:rsidR="003136DB" w:rsidRPr="003136DB">
        <w:rPr>
          <w:color w:val="212121"/>
          <w:sz w:val="24"/>
          <w:szCs w:val="24"/>
          <w:shd w:val="clear" w:color="auto" w:fill="FFFFFF"/>
          <w:lang w:val="en-US"/>
        </w:rPr>
        <w:t>2011. No. 2.</w:t>
      </w:r>
      <w:proofErr w:type="gramEnd"/>
      <w:r w:rsidR="003136DB" w:rsidRPr="003136DB">
        <w:rPr>
          <w:color w:val="212121"/>
          <w:sz w:val="24"/>
          <w:szCs w:val="24"/>
          <w:shd w:val="clear" w:color="auto" w:fill="FFFFFF"/>
          <w:lang w:val="en-US"/>
        </w:rPr>
        <w:t xml:space="preserve"> P. 4–11.</w:t>
      </w:r>
    </w:p>
    <w:p w:rsidR="003136DB" w:rsidRPr="001D2261" w:rsidRDefault="00842A89" w:rsidP="003136DB">
      <w:pPr>
        <w:pStyle w:val="a4"/>
        <w:ind w:firstLine="709"/>
        <w:jc w:val="both"/>
        <w:rPr>
          <w:color w:val="212121"/>
          <w:sz w:val="24"/>
          <w:szCs w:val="24"/>
          <w:shd w:val="clear" w:color="auto" w:fill="FFFFFF"/>
          <w:lang w:val="en-US"/>
        </w:rPr>
      </w:pPr>
      <w:r w:rsidRPr="008609DF">
        <w:rPr>
          <w:color w:val="212121"/>
          <w:sz w:val="24"/>
          <w:szCs w:val="24"/>
          <w:shd w:val="clear" w:color="auto" w:fill="FFFFFF"/>
          <w:lang w:val="en-US"/>
        </w:rPr>
        <w:t>9</w:t>
      </w:r>
      <w:r w:rsidR="003136DB" w:rsidRPr="003136DB">
        <w:rPr>
          <w:color w:val="212121"/>
          <w:sz w:val="24"/>
          <w:szCs w:val="24"/>
          <w:shd w:val="clear" w:color="auto" w:fill="FFFFFF"/>
          <w:lang w:val="en-US"/>
        </w:rPr>
        <w:t xml:space="preserve">. </w:t>
      </w:r>
      <w:proofErr w:type="spellStart"/>
      <w:r w:rsidR="003136DB" w:rsidRPr="003136DB">
        <w:rPr>
          <w:color w:val="212121"/>
          <w:sz w:val="24"/>
          <w:szCs w:val="24"/>
          <w:shd w:val="clear" w:color="auto" w:fill="FFFFFF"/>
          <w:lang w:val="en-US"/>
        </w:rPr>
        <w:t>Chekmareva</w:t>
      </w:r>
      <w:proofErr w:type="spellEnd"/>
      <w:r w:rsidR="003136DB" w:rsidRPr="003136DB">
        <w:rPr>
          <w:color w:val="212121"/>
          <w:sz w:val="24"/>
          <w:szCs w:val="24"/>
          <w:shd w:val="clear" w:color="auto" w:fill="FFFFFF"/>
          <w:lang w:val="en-US"/>
        </w:rPr>
        <w:t xml:space="preserve">, </w:t>
      </w:r>
      <w:proofErr w:type="gramStart"/>
      <w:r w:rsidR="003136DB" w:rsidRPr="003136DB">
        <w:rPr>
          <w:color w:val="212121"/>
          <w:sz w:val="24"/>
          <w:szCs w:val="24"/>
          <w:shd w:val="clear" w:color="auto" w:fill="FFFFFF"/>
          <w:lang w:val="en-US"/>
        </w:rPr>
        <w:t>EA ..</w:t>
      </w:r>
      <w:proofErr w:type="gramEnd"/>
      <w:r w:rsidR="003136DB" w:rsidRPr="003136DB">
        <w:rPr>
          <w:color w:val="212121"/>
          <w:sz w:val="24"/>
          <w:szCs w:val="24"/>
          <w:shd w:val="clear" w:color="auto" w:fill="FFFFFF"/>
          <w:lang w:val="en-US"/>
        </w:rPr>
        <w:t xml:space="preserve"> Economic-mathematical modeling of the realization of the labor potential of a region: dissertation of economic sciences: 08.00.13 [Defense location: Center. </w:t>
      </w:r>
      <w:proofErr w:type="spellStart"/>
      <w:r w:rsidR="003136DB" w:rsidRPr="003136DB">
        <w:rPr>
          <w:color w:val="212121"/>
          <w:sz w:val="24"/>
          <w:szCs w:val="24"/>
          <w:shd w:val="clear" w:color="auto" w:fill="FFFFFF"/>
          <w:lang w:val="en-US"/>
        </w:rPr>
        <w:t>econom</w:t>
      </w:r>
      <w:proofErr w:type="spellEnd"/>
      <w:r w:rsidR="003136DB" w:rsidRPr="003136DB">
        <w:rPr>
          <w:color w:val="212121"/>
          <w:sz w:val="24"/>
          <w:szCs w:val="24"/>
          <w:shd w:val="clear" w:color="auto" w:fill="FFFFFF"/>
          <w:lang w:val="en-US"/>
        </w:rPr>
        <w:t xml:space="preserve">. </w:t>
      </w:r>
      <w:proofErr w:type="gramStart"/>
      <w:r w:rsidR="003136DB" w:rsidRPr="003136DB">
        <w:rPr>
          <w:color w:val="212121"/>
          <w:sz w:val="24"/>
          <w:szCs w:val="24"/>
          <w:shd w:val="clear" w:color="auto" w:fill="FFFFFF"/>
          <w:lang w:val="en-US"/>
        </w:rPr>
        <w:t>Inst. of RAS (CEMI)].</w:t>
      </w:r>
      <w:proofErr w:type="gramEnd"/>
      <w:r w:rsidR="003136DB" w:rsidRPr="003136DB">
        <w:rPr>
          <w:color w:val="212121"/>
          <w:sz w:val="24"/>
          <w:szCs w:val="24"/>
          <w:shd w:val="clear" w:color="auto" w:fill="FFFFFF"/>
          <w:lang w:val="en-US"/>
        </w:rPr>
        <w:t xml:space="preserve"> </w:t>
      </w:r>
      <w:proofErr w:type="gramStart"/>
      <w:r w:rsidR="003136DB" w:rsidRPr="003136DB">
        <w:rPr>
          <w:color w:val="212121"/>
          <w:sz w:val="24"/>
          <w:szCs w:val="24"/>
          <w:shd w:val="clear" w:color="auto" w:fill="FFFFFF"/>
          <w:lang w:val="en-US"/>
        </w:rPr>
        <w:t>Vologda, 2012.</w:t>
      </w:r>
      <w:r w:rsidR="003136DB" w:rsidRPr="003136DB">
        <w:rPr>
          <w:color w:val="212121"/>
          <w:sz w:val="24"/>
          <w:szCs w:val="24"/>
          <w:shd w:val="clear" w:color="auto" w:fill="FFFFFF"/>
        </w:rPr>
        <w:t>С</w:t>
      </w:r>
      <w:r w:rsidR="003136DB" w:rsidRPr="003136DB">
        <w:rPr>
          <w:color w:val="212121"/>
          <w:sz w:val="24"/>
          <w:szCs w:val="24"/>
          <w:shd w:val="clear" w:color="auto" w:fill="FFFFFF"/>
          <w:lang w:val="en-US"/>
        </w:rPr>
        <w:t>.101–105</w:t>
      </w:r>
      <w:r w:rsidR="003136DB" w:rsidRPr="001D2261">
        <w:rPr>
          <w:color w:val="212121"/>
          <w:sz w:val="24"/>
          <w:szCs w:val="24"/>
          <w:shd w:val="clear" w:color="auto" w:fill="FFFFFF"/>
          <w:lang w:val="en-US"/>
        </w:rPr>
        <w:t>.</w:t>
      </w:r>
      <w:proofErr w:type="gramEnd"/>
    </w:p>
    <w:p w:rsidR="003136DB" w:rsidRPr="008609DF" w:rsidRDefault="00842A89" w:rsidP="003136DB">
      <w:pPr>
        <w:pStyle w:val="a4"/>
        <w:ind w:firstLine="709"/>
        <w:jc w:val="both"/>
        <w:rPr>
          <w:color w:val="212121"/>
          <w:sz w:val="24"/>
          <w:szCs w:val="24"/>
          <w:shd w:val="clear" w:color="auto" w:fill="FFFFFF"/>
          <w:lang w:val="en-US"/>
        </w:rPr>
      </w:pPr>
      <w:r w:rsidRPr="00842A89">
        <w:rPr>
          <w:color w:val="212121"/>
          <w:sz w:val="24"/>
          <w:szCs w:val="24"/>
          <w:shd w:val="clear" w:color="auto" w:fill="FFFFFF"/>
          <w:lang w:val="en-US"/>
        </w:rPr>
        <w:t>10</w:t>
      </w:r>
      <w:r w:rsidR="003136DB" w:rsidRPr="003136DB">
        <w:rPr>
          <w:color w:val="212121"/>
          <w:sz w:val="24"/>
          <w:szCs w:val="24"/>
          <w:shd w:val="clear" w:color="auto" w:fill="FFFFFF"/>
          <w:lang w:val="en-US"/>
        </w:rPr>
        <w:t>. Ben-</w:t>
      </w:r>
      <w:proofErr w:type="spellStart"/>
      <w:r w:rsidR="003136DB" w:rsidRPr="003136DB">
        <w:rPr>
          <w:color w:val="212121"/>
          <w:sz w:val="24"/>
          <w:szCs w:val="24"/>
          <w:shd w:val="clear" w:color="auto" w:fill="FFFFFF"/>
          <w:lang w:val="en-US"/>
        </w:rPr>
        <w:t>Arieh</w:t>
      </w:r>
      <w:proofErr w:type="spellEnd"/>
      <w:r w:rsidR="003136DB" w:rsidRPr="003136DB">
        <w:rPr>
          <w:color w:val="212121"/>
          <w:sz w:val="24"/>
          <w:szCs w:val="24"/>
          <w:shd w:val="clear" w:color="auto" w:fill="FFFFFF"/>
          <w:lang w:val="en-US"/>
        </w:rPr>
        <w:t xml:space="preserve">, A. Indicators of Children's Well-Being: What should be measured and why? </w:t>
      </w:r>
      <w:proofErr w:type="spellStart"/>
      <w:r w:rsidR="003136DB" w:rsidRPr="003136DB">
        <w:rPr>
          <w:color w:val="212121"/>
          <w:sz w:val="24"/>
          <w:szCs w:val="24"/>
          <w:shd w:val="clear" w:color="auto" w:fill="FFFFFF"/>
          <w:lang w:val="en-US"/>
        </w:rPr>
        <w:t>A.Ben-Arieh</w:t>
      </w:r>
      <w:proofErr w:type="spellEnd"/>
      <w:r w:rsidR="003136DB" w:rsidRPr="003136DB">
        <w:rPr>
          <w:color w:val="212121"/>
          <w:sz w:val="24"/>
          <w:szCs w:val="24"/>
          <w:shd w:val="clear" w:color="auto" w:fill="FFFFFF"/>
          <w:lang w:val="en-US"/>
        </w:rPr>
        <w:t xml:space="preserve">, </w:t>
      </w:r>
      <w:proofErr w:type="spellStart"/>
      <w:r w:rsidR="003136DB" w:rsidRPr="003136DB">
        <w:rPr>
          <w:color w:val="212121"/>
          <w:sz w:val="24"/>
          <w:szCs w:val="24"/>
          <w:shd w:val="clear" w:color="auto" w:fill="FFFFFF"/>
          <w:lang w:val="en-US"/>
        </w:rPr>
        <w:t>I.Frones</w:t>
      </w:r>
      <w:proofErr w:type="spellEnd"/>
      <w:r w:rsidR="003136DB" w:rsidRPr="003136DB">
        <w:rPr>
          <w:color w:val="212121"/>
          <w:sz w:val="24"/>
          <w:szCs w:val="24"/>
          <w:shd w:val="clear" w:color="auto" w:fill="FFFFFF"/>
          <w:lang w:val="en-US"/>
        </w:rPr>
        <w:t xml:space="preserve"> // Social Indicator Research. 2007</w:t>
      </w:r>
      <w:proofErr w:type="gramStart"/>
      <w:r w:rsidR="003136DB" w:rsidRPr="003136DB">
        <w:rPr>
          <w:color w:val="212121"/>
          <w:sz w:val="24"/>
          <w:szCs w:val="24"/>
          <w:shd w:val="clear" w:color="auto" w:fill="FFFFFF"/>
          <w:lang w:val="en-US"/>
        </w:rPr>
        <w:t>.Vol</w:t>
      </w:r>
      <w:proofErr w:type="gramEnd"/>
      <w:r w:rsidR="003136DB" w:rsidRPr="003136DB">
        <w:rPr>
          <w:color w:val="212121"/>
          <w:sz w:val="24"/>
          <w:szCs w:val="24"/>
          <w:shd w:val="clear" w:color="auto" w:fill="FFFFFF"/>
          <w:lang w:val="en-US"/>
        </w:rPr>
        <w:t xml:space="preserve">. 84. P. 249–250. </w:t>
      </w:r>
    </w:p>
    <w:p w:rsidR="001D2261" w:rsidRPr="008609DF" w:rsidRDefault="001D2261" w:rsidP="003136DB">
      <w:pPr>
        <w:pStyle w:val="a4"/>
        <w:ind w:firstLine="709"/>
        <w:jc w:val="both"/>
        <w:rPr>
          <w:color w:val="212121"/>
          <w:sz w:val="24"/>
          <w:szCs w:val="24"/>
          <w:shd w:val="clear" w:color="auto" w:fill="FFFFFF"/>
          <w:lang w:val="en-US"/>
        </w:rPr>
      </w:pPr>
    </w:p>
    <w:p w:rsidR="001D2261" w:rsidRPr="008609DF" w:rsidRDefault="001D2261" w:rsidP="003136DB">
      <w:pPr>
        <w:pStyle w:val="a4"/>
        <w:ind w:firstLine="709"/>
        <w:jc w:val="both"/>
        <w:rPr>
          <w:sz w:val="24"/>
          <w:szCs w:val="24"/>
          <w:lang w:val="en-US"/>
        </w:rPr>
      </w:pPr>
    </w:p>
    <w:sectPr w:rsidR="001D2261" w:rsidRPr="008609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DCE" w:rsidRDefault="00C85DCE" w:rsidP="00C85DCE">
      <w:r>
        <w:separator/>
      </w:r>
    </w:p>
  </w:endnote>
  <w:endnote w:type="continuationSeparator" w:id="0">
    <w:p w:rsidR="00C85DCE" w:rsidRDefault="00C85DCE" w:rsidP="00C8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DCE" w:rsidRDefault="00C85DCE" w:rsidP="00C85DCE">
      <w:r>
        <w:separator/>
      </w:r>
    </w:p>
  </w:footnote>
  <w:footnote w:type="continuationSeparator" w:id="0">
    <w:p w:rsidR="00C85DCE" w:rsidRDefault="00C85DCE" w:rsidP="00C85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2AC"/>
    <w:multiLevelType w:val="hybridMultilevel"/>
    <w:tmpl w:val="93549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F1F35"/>
    <w:multiLevelType w:val="hybridMultilevel"/>
    <w:tmpl w:val="F5FC784E"/>
    <w:lvl w:ilvl="0" w:tplc="1240878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39619E"/>
    <w:multiLevelType w:val="hybridMultilevel"/>
    <w:tmpl w:val="910AC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4802D0"/>
    <w:multiLevelType w:val="hybridMultilevel"/>
    <w:tmpl w:val="287C6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9B242F"/>
    <w:multiLevelType w:val="hybridMultilevel"/>
    <w:tmpl w:val="9F78444A"/>
    <w:lvl w:ilvl="0" w:tplc="39D8A14A">
      <w:start w:val="1"/>
      <w:numFmt w:val="bullet"/>
      <w:lvlText w:val="•"/>
      <w:lvlJc w:val="left"/>
      <w:pPr>
        <w:tabs>
          <w:tab w:val="num" w:pos="720"/>
        </w:tabs>
        <w:ind w:left="720" w:hanging="360"/>
      </w:pPr>
      <w:rPr>
        <w:rFonts w:ascii="Arial" w:hAnsi="Arial" w:hint="default"/>
      </w:rPr>
    </w:lvl>
    <w:lvl w:ilvl="1" w:tplc="01440860" w:tentative="1">
      <w:start w:val="1"/>
      <w:numFmt w:val="bullet"/>
      <w:lvlText w:val="•"/>
      <w:lvlJc w:val="left"/>
      <w:pPr>
        <w:tabs>
          <w:tab w:val="num" w:pos="1440"/>
        </w:tabs>
        <w:ind w:left="1440" w:hanging="360"/>
      </w:pPr>
      <w:rPr>
        <w:rFonts w:ascii="Arial" w:hAnsi="Arial" w:hint="default"/>
      </w:rPr>
    </w:lvl>
    <w:lvl w:ilvl="2" w:tplc="AB5A3942" w:tentative="1">
      <w:start w:val="1"/>
      <w:numFmt w:val="bullet"/>
      <w:lvlText w:val="•"/>
      <w:lvlJc w:val="left"/>
      <w:pPr>
        <w:tabs>
          <w:tab w:val="num" w:pos="2160"/>
        </w:tabs>
        <w:ind w:left="2160" w:hanging="360"/>
      </w:pPr>
      <w:rPr>
        <w:rFonts w:ascii="Arial" w:hAnsi="Arial" w:hint="default"/>
      </w:rPr>
    </w:lvl>
    <w:lvl w:ilvl="3" w:tplc="14A4269C" w:tentative="1">
      <w:start w:val="1"/>
      <w:numFmt w:val="bullet"/>
      <w:lvlText w:val="•"/>
      <w:lvlJc w:val="left"/>
      <w:pPr>
        <w:tabs>
          <w:tab w:val="num" w:pos="2880"/>
        </w:tabs>
        <w:ind w:left="2880" w:hanging="360"/>
      </w:pPr>
      <w:rPr>
        <w:rFonts w:ascii="Arial" w:hAnsi="Arial" w:hint="default"/>
      </w:rPr>
    </w:lvl>
    <w:lvl w:ilvl="4" w:tplc="71683338" w:tentative="1">
      <w:start w:val="1"/>
      <w:numFmt w:val="bullet"/>
      <w:lvlText w:val="•"/>
      <w:lvlJc w:val="left"/>
      <w:pPr>
        <w:tabs>
          <w:tab w:val="num" w:pos="3600"/>
        </w:tabs>
        <w:ind w:left="3600" w:hanging="360"/>
      </w:pPr>
      <w:rPr>
        <w:rFonts w:ascii="Arial" w:hAnsi="Arial" w:hint="default"/>
      </w:rPr>
    </w:lvl>
    <w:lvl w:ilvl="5" w:tplc="5C9C43D4" w:tentative="1">
      <w:start w:val="1"/>
      <w:numFmt w:val="bullet"/>
      <w:lvlText w:val="•"/>
      <w:lvlJc w:val="left"/>
      <w:pPr>
        <w:tabs>
          <w:tab w:val="num" w:pos="4320"/>
        </w:tabs>
        <w:ind w:left="4320" w:hanging="360"/>
      </w:pPr>
      <w:rPr>
        <w:rFonts w:ascii="Arial" w:hAnsi="Arial" w:hint="default"/>
      </w:rPr>
    </w:lvl>
    <w:lvl w:ilvl="6" w:tplc="A392BAE0" w:tentative="1">
      <w:start w:val="1"/>
      <w:numFmt w:val="bullet"/>
      <w:lvlText w:val="•"/>
      <w:lvlJc w:val="left"/>
      <w:pPr>
        <w:tabs>
          <w:tab w:val="num" w:pos="5040"/>
        </w:tabs>
        <w:ind w:left="5040" w:hanging="360"/>
      </w:pPr>
      <w:rPr>
        <w:rFonts w:ascii="Arial" w:hAnsi="Arial" w:hint="default"/>
      </w:rPr>
    </w:lvl>
    <w:lvl w:ilvl="7" w:tplc="D180B242" w:tentative="1">
      <w:start w:val="1"/>
      <w:numFmt w:val="bullet"/>
      <w:lvlText w:val="•"/>
      <w:lvlJc w:val="left"/>
      <w:pPr>
        <w:tabs>
          <w:tab w:val="num" w:pos="5760"/>
        </w:tabs>
        <w:ind w:left="5760" w:hanging="360"/>
      </w:pPr>
      <w:rPr>
        <w:rFonts w:ascii="Arial" w:hAnsi="Arial" w:hint="default"/>
      </w:rPr>
    </w:lvl>
    <w:lvl w:ilvl="8" w:tplc="2B7225DA" w:tentative="1">
      <w:start w:val="1"/>
      <w:numFmt w:val="bullet"/>
      <w:lvlText w:val="•"/>
      <w:lvlJc w:val="left"/>
      <w:pPr>
        <w:tabs>
          <w:tab w:val="num" w:pos="6480"/>
        </w:tabs>
        <w:ind w:left="6480" w:hanging="360"/>
      </w:pPr>
      <w:rPr>
        <w:rFonts w:ascii="Arial" w:hAnsi="Arial" w:hint="default"/>
      </w:rPr>
    </w:lvl>
  </w:abstractNum>
  <w:abstractNum w:abstractNumId="5">
    <w:nsid w:val="2C9179ED"/>
    <w:multiLevelType w:val="hybridMultilevel"/>
    <w:tmpl w:val="1C10E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F2587C"/>
    <w:multiLevelType w:val="hybridMultilevel"/>
    <w:tmpl w:val="5A747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D03B61"/>
    <w:multiLevelType w:val="hybridMultilevel"/>
    <w:tmpl w:val="3C96A510"/>
    <w:lvl w:ilvl="0" w:tplc="9DD213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AC878C5"/>
    <w:multiLevelType w:val="hybridMultilevel"/>
    <w:tmpl w:val="F0602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FE4AFA"/>
    <w:multiLevelType w:val="hybridMultilevel"/>
    <w:tmpl w:val="477E2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5C3F0F"/>
    <w:multiLevelType w:val="hybridMultilevel"/>
    <w:tmpl w:val="DCB4A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602AC0"/>
    <w:multiLevelType w:val="hybridMultilevel"/>
    <w:tmpl w:val="6B8EB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5"/>
  </w:num>
  <w:num w:numId="5">
    <w:abstractNumId w:val="3"/>
  </w:num>
  <w:num w:numId="6">
    <w:abstractNumId w:val="2"/>
  </w:num>
  <w:num w:numId="7">
    <w:abstractNumId w:val="8"/>
  </w:num>
  <w:num w:numId="8">
    <w:abstractNumId w:val="6"/>
  </w:num>
  <w:num w:numId="9">
    <w:abstractNumId w:val="9"/>
  </w:num>
  <w:num w:numId="10">
    <w:abstractNumId w:val="7"/>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0E3"/>
    <w:rsid w:val="00076F1D"/>
    <w:rsid w:val="00092949"/>
    <w:rsid w:val="001C6F61"/>
    <w:rsid w:val="001D2261"/>
    <w:rsid w:val="001F4E0D"/>
    <w:rsid w:val="003127C9"/>
    <w:rsid w:val="003136DB"/>
    <w:rsid w:val="00334987"/>
    <w:rsid w:val="004238DD"/>
    <w:rsid w:val="004D5F46"/>
    <w:rsid w:val="004E103E"/>
    <w:rsid w:val="0060369E"/>
    <w:rsid w:val="00640C61"/>
    <w:rsid w:val="00644B90"/>
    <w:rsid w:val="00673CB5"/>
    <w:rsid w:val="007B10E3"/>
    <w:rsid w:val="0084288D"/>
    <w:rsid w:val="00842A89"/>
    <w:rsid w:val="008609DF"/>
    <w:rsid w:val="008F78F4"/>
    <w:rsid w:val="00931628"/>
    <w:rsid w:val="00970117"/>
    <w:rsid w:val="00974EE3"/>
    <w:rsid w:val="009B2F54"/>
    <w:rsid w:val="00AA201A"/>
    <w:rsid w:val="00C72130"/>
    <w:rsid w:val="00C85DCE"/>
    <w:rsid w:val="00CF11FB"/>
    <w:rsid w:val="00D45320"/>
    <w:rsid w:val="00D96E90"/>
    <w:rsid w:val="00DB70C6"/>
    <w:rsid w:val="00DE6483"/>
    <w:rsid w:val="00DF1268"/>
    <w:rsid w:val="00E51DC8"/>
    <w:rsid w:val="00EF263E"/>
    <w:rsid w:val="00F55391"/>
    <w:rsid w:val="00F74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3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55391"/>
    <w:rPr>
      <w:color w:val="0000FF"/>
      <w:u w:val="single"/>
    </w:rPr>
  </w:style>
  <w:style w:type="character" w:customStyle="1" w:styleId="apple-style-span">
    <w:name w:val="apple-style-span"/>
    <w:basedOn w:val="a0"/>
    <w:rsid w:val="00F55391"/>
  </w:style>
  <w:style w:type="paragraph" w:customStyle="1" w:styleId="Default">
    <w:name w:val="Default"/>
    <w:rsid w:val="00F553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orange">
    <w:name w:val="orange"/>
    <w:basedOn w:val="a0"/>
    <w:rsid w:val="00F55391"/>
  </w:style>
  <w:style w:type="paragraph" w:styleId="a4">
    <w:name w:val="footnote text"/>
    <w:aliases w:val="Текст сноски Знак Знак Знак Знак,Текст сноски Знак Знак Знак,Текст сноски-FN,Footnote Text Char Знак Знак,Footnote Text Char Знак,Table_Footnote_last,Table_Footnote_last Знак Знак Знак,Table_Footnote_last Знак,single spac,Заголовок таблицы"/>
    <w:basedOn w:val="a"/>
    <w:link w:val="a5"/>
    <w:unhideWhenUsed/>
    <w:qFormat/>
    <w:rsid w:val="00C85DCE"/>
    <w:rPr>
      <w:sz w:val="20"/>
      <w:szCs w:val="20"/>
    </w:rPr>
  </w:style>
  <w:style w:type="character" w:customStyle="1" w:styleId="a5">
    <w:name w:val="Текст сноски Знак"/>
    <w:aliases w:val="Текст сноски Знак Знак Знак Знак Знак,Текст сноски Знак Знак Знак Знак1,Текст сноски-FN Знак,Footnote Text Char Знак Знак Знак,Footnote Text Char Знак Знак1,Table_Footnote_last Знак1,Table_Footnote_last Знак Знак Знак Знак"/>
    <w:basedOn w:val="a0"/>
    <w:link w:val="a4"/>
    <w:qFormat/>
    <w:rsid w:val="00C85DCE"/>
    <w:rPr>
      <w:rFonts w:ascii="Times New Roman" w:eastAsia="Times New Roman" w:hAnsi="Times New Roman" w:cs="Times New Roman"/>
      <w:sz w:val="20"/>
      <w:szCs w:val="20"/>
      <w:lang w:eastAsia="ru-RU"/>
    </w:rPr>
  </w:style>
  <w:style w:type="character" w:styleId="a6">
    <w:name w:val="footnote reference"/>
    <w:aliases w:val="Знак сноски-FN,Ciae niinee-FN,Знак сноски 1,Referencia nota al pie,SUPERS,анкета сноска,Ciae niinee 1,Текст сноски Знак Знак Знак Знак Знак Знак,Текст сноски Знак1 Знак Знак Знак Знак,-++ Знак Знак,fr,Used by Word for Help footnote symbols"/>
    <w:basedOn w:val="a0"/>
    <w:unhideWhenUsed/>
    <w:rsid w:val="00C85DCE"/>
    <w:rPr>
      <w:vertAlign w:val="superscript"/>
    </w:rPr>
  </w:style>
  <w:style w:type="numbering" w:customStyle="1" w:styleId="1">
    <w:name w:val="Нет списка1"/>
    <w:next w:val="a2"/>
    <w:uiPriority w:val="99"/>
    <w:semiHidden/>
    <w:unhideWhenUsed/>
    <w:rsid w:val="00C85DCE"/>
  </w:style>
  <w:style w:type="paragraph" w:styleId="a7">
    <w:name w:val="Balloon Text"/>
    <w:basedOn w:val="a"/>
    <w:link w:val="a8"/>
    <w:uiPriority w:val="99"/>
    <w:semiHidden/>
    <w:unhideWhenUsed/>
    <w:rsid w:val="00C85DCE"/>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C85DCE"/>
    <w:rPr>
      <w:rFonts w:ascii="Tahoma" w:hAnsi="Tahoma" w:cs="Tahoma"/>
      <w:sz w:val="16"/>
      <w:szCs w:val="16"/>
    </w:rPr>
  </w:style>
  <w:style w:type="table" w:customStyle="1" w:styleId="10">
    <w:name w:val="Сетка таблицы1"/>
    <w:basedOn w:val="a1"/>
    <w:next w:val="a9"/>
    <w:uiPriority w:val="59"/>
    <w:rsid w:val="00C85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C85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59"/>
    <w:rsid w:val="00C85DCE"/>
    <w:pPr>
      <w:spacing w:after="0" w:line="240" w:lineRule="auto"/>
    </w:pPr>
    <w:rPr>
      <w:rFonts w:ascii="Times New Roman" w:hAnsi="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rmal (Web)"/>
    <w:basedOn w:val="a"/>
    <w:uiPriority w:val="99"/>
    <w:unhideWhenUsed/>
    <w:rsid w:val="00C85DCE"/>
    <w:pPr>
      <w:spacing w:before="100" w:beforeAutospacing="1" w:after="100" w:afterAutospacing="1"/>
    </w:pPr>
  </w:style>
  <w:style w:type="character" w:styleId="ab">
    <w:name w:val="Strong"/>
    <w:basedOn w:val="a0"/>
    <w:uiPriority w:val="22"/>
    <w:qFormat/>
    <w:rsid w:val="00C85DCE"/>
    <w:rPr>
      <w:b/>
      <w:bCs/>
    </w:rPr>
  </w:style>
  <w:style w:type="paragraph" w:styleId="ac">
    <w:name w:val="List Paragraph"/>
    <w:basedOn w:val="a"/>
    <w:uiPriority w:val="34"/>
    <w:qFormat/>
    <w:rsid w:val="00C85DCE"/>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3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55391"/>
    <w:rPr>
      <w:color w:val="0000FF"/>
      <w:u w:val="single"/>
    </w:rPr>
  </w:style>
  <w:style w:type="character" w:customStyle="1" w:styleId="apple-style-span">
    <w:name w:val="apple-style-span"/>
    <w:basedOn w:val="a0"/>
    <w:rsid w:val="00F55391"/>
  </w:style>
  <w:style w:type="paragraph" w:customStyle="1" w:styleId="Default">
    <w:name w:val="Default"/>
    <w:rsid w:val="00F553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orange">
    <w:name w:val="orange"/>
    <w:basedOn w:val="a0"/>
    <w:rsid w:val="00F55391"/>
  </w:style>
  <w:style w:type="paragraph" w:styleId="a4">
    <w:name w:val="footnote text"/>
    <w:aliases w:val="Текст сноски Знак Знак Знак Знак,Текст сноски Знак Знак Знак,Текст сноски-FN,Footnote Text Char Знак Знак,Footnote Text Char Знак,Table_Footnote_last,Table_Footnote_last Знак Знак Знак,Table_Footnote_last Знак,single spac,Заголовок таблицы"/>
    <w:basedOn w:val="a"/>
    <w:link w:val="a5"/>
    <w:unhideWhenUsed/>
    <w:qFormat/>
    <w:rsid w:val="00C85DCE"/>
    <w:rPr>
      <w:sz w:val="20"/>
      <w:szCs w:val="20"/>
    </w:rPr>
  </w:style>
  <w:style w:type="character" w:customStyle="1" w:styleId="a5">
    <w:name w:val="Текст сноски Знак"/>
    <w:aliases w:val="Текст сноски Знак Знак Знак Знак Знак,Текст сноски Знак Знак Знак Знак1,Текст сноски-FN Знак,Footnote Text Char Знак Знак Знак,Footnote Text Char Знак Знак1,Table_Footnote_last Знак1,Table_Footnote_last Знак Знак Знак Знак"/>
    <w:basedOn w:val="a0"/>
    <w:link w:val="a4"/>
    <w:qFormat/>
    <w:rsid w:val="00C85DCE"/>
    <w:rPr>
      <w:rFonts w:ascii="Times New Roman" w:eastAsia="Times New Roman" w:hAnsi="Times New Roman" w:cs="Times New Roman"/>
      <w:sz w:val="20"/>
      <w:szCs w:val="20"/>
      <w:lang w:eastAsia="ru-RU"/>
    </w:rPr>
  </w:style>
  <w:style w:type="character" w:styleId="a6">
    <w:name w:val="footnote reference"/>
    <w:aliases w:val="Знак сноски-FN,Ciae niinee-FN,Знак сноски 1,Referencia nota al pie,SUPERS,анкета сноска,Ciae niinee 1,Текст сноски Знак Знак Знак Знак Знак Знак,Текст сноски Знак1 Знак Знак Знак Знак,-++ Знак Знак,fr,Used by Word for Help footnote symbols"/>
    <w:basedOn w:val="a0"/>
    <w:unhideWhenUsed/>
    <w:rsid w:val="00C85DCE"/>
    <w:rPr>
      <w:vertAlign w:val="superscript"/>
    </w:rPr>
  </w:style>
  <w:style w:type="numbering" w:customStyle="1" w:styleId="1">
    <w:name w:val="Нет списка1"/>
    <w:next w:val="a2"/>
    <w:uiPriority w:val="99"/>
    <w:semiHidden/>
    <w:unhideWhenUsed/>
    <w:rsid w:val="00C85DCE"/>
  </w:style>
  <w:style w:type="paragraph" w:styleId="a7">
    <w:name w:val="Balloon Text"/>
    <w:basedOn w:val="a"/>
    <w:link w:val="a8"/>
    <w:uiPriority w:val="99"/>
    <w:semiHidden/>
    <w:unhideWhenUsed/>
    <w:rsid w:val="00C85DCE"/>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C85DCE"/>
    <w:rPr>
      <w:rFonts w:ascii="Tahoma" w:hAnsi="Tahoma" w:cs="Tahoma"/>
      <w:sz w:val="16"/>
      <w:szCs w:val="16"/>
    </w:rPr>
  </w:style>
  <w:style w:type="table" w:customStyle="1" w:styleId="10">
    <w:name w:val="Сетка таблицы1"/>
    <w:basedOn w:val="a1"/>
    <w:next w:val="a9"/>
    <w:uiPriority w:val="59"/>
    <w:rsid w:val="00C85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C85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59"/>
    <w:rsid w:val="00C85DCE"/>
    <w:pPr>
      <w:spacing w:after="0" w:line="240" w:lineRule="auto"/>
    </w:pPr>
    <w:rPr>
      <w:rFonts w:ascii="Times New Roman" w:hAnsi="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rmal (Web)"/>
    <w:basedOn w:val="a"/>
    <w:uiPriority w:val="99"/>
    <w:unhideWhenUsed/>
    <w:rsid w:val="00C85DCE"/>
    <w:pPr>
      <w:spacing w:before="100" w:beforeAutospacing="1" w:after="100" w:afterAutospacing="1"/>
    </w:pPr>
  </w:style>
  <w:style w:type="character" w:styleId="ab">
    <w:name w:val="Strong"/>
    <w:basedOn w:val="a0"/>
    <w:uiPriority w:val="22"/>
    <w:qFormat/>
    <w:rsid w:val="00C85DCE"/>
    <w:rPr>
      <w:b/>
      <w:bCs/>
    </w:rPr>
  </w:style>
  <w:style w:type="paragraph" w:styleId="ac">
    <w:name w:val="List Paragraph"/>
    <w:basedOn w:val="a"/>
    <w:uiPriority w:val="34"/>
    <w:qFormat/>
    <w:rsid w:val="00C85DC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4961">
      <w:bodyDiv w:val="1"/>
      <w:marLeft w:val="0"/>
      <w:marRight w:val="0"/>
      <w:marTop w:val="0"/>
      <w:marBottom w:val="0"/>
      <w:divBdr>
        <w:top w:val="none" w:sz="0" w:space="0" w:color="auto"/>
        <w:left w:val="none" w:sz="0" w:space="0" w:color="auto"/>
        <w:bottom w:val="none" w:sz="0" w:space="0" w:color="auto"/>
        <w:right w:val="none" w:sz="0" w:space="0" w:color="auto"/>
      </w:divBdr>
    </w:div>
    <w:div w:id="739324193">
      <w:bodyDiv w:val="1"/>
      <w:marLeft w:val="0"/>
      <w:marRight w:val="0"/>
      <w:marTop w:val="0"/>
      <w:marBottom w:val="0"/>
      <w:divBdr>
        <w:top w:val="none" w:sz="0" w:space="0" w:color="auto"/>
        <w:left w:val="none" w:sz="0" w:space="0" w:color="auto"/>
        <w:bottom w:val="none" w:sz="0" w:space="0" w:color="auto"/>
        <w:right w:val="none" w:sz="0" w:space="0" w:color="auto"/>
      </w:divBdr>
    </w:div>
    <w:div w:id="154325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fap.ru/ofdocs/rus/rus006.pdf" TargetMode="External"/><Relationship Id="rId4" Type="http://schemas.microsoft.com/office/2007/relationships/stylesWithEffects" Target="stylesWithEffects.xml"/><Relationship Id="rId9" Type="http://schemas.openxmlformats.org/officeDocument/2006/relationships/hyperlink" Target="mailto:irina.razvarin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8D79B-A128-49A2-90EF-43E45E226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2720</Words>
  <Characters>15507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 Разварина</dc:creator>
  <cp:lastModifiedBy>Ирина Н. Разварина</cp:lastModifiedBy>
  <cp:revision>3</cp:revision>
  <cp:lastPrinted>2019-03-21T13:11:00Z</cp:lastPrinted>
  <dcterms:created xsi:type="dcterms:W3CDTF">2019-03-21T13:02:00Z</dcterms:created>
  <dcterms:modified xsi:type="dcterms:W3CDTF">2019-03-21T13:16:00Z</dcterms:modified>
</cp:coreProperties>
</file>