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F9" w:rsidRPr="00F03806" w:rsidRDefault="00B331F9" w:rsidP="00B331F9">
      <w:pPr>
        <w:jc w:val="left"/>
        <w:rPr>
          <w:b/>
          <w:szCs w:val="24"/>
        </w:rPr>
      </w:pPr>
      <w:r w:rsidRPr="00F03806">
        <w:rPr>
          <w:b/>
          <w:szCs w:val="24"/>
        </w:rPr>
        <w:t>УДК 330.59(470.12)</w:t>
      </w:r>
    </w:p>
    <w:p w:rsidR="0090683E" w:rsidRPr="00F03806" w:rsidRDefault="00B331F9" w:rsidP="00B331F9">
      <w:pPr>
        <w:jc w:val="left"/>
        <w:rPr>
          <w:b/>
          <w:szCs w:val="24"/>
        </w:rPr>
      </w:pPr>
      <w:r w:rsidRPr="00F03806">
        <w:rPr>
          <w:b/>
          <w:szCs w:val="24"/>
        </w:rPr>
        <w:t>ББК 65.9(2Рос-4Вол)</w:t>
      </w:r>
    </w:p>
    <w:p w:rsidR="009B0904" w:rsidRPr="00F03806" w:rsidRDefault="0090683E" w:rsidP="0090683E">
      <w:pPr>
        <w:jc w:val="right"/>
        <w:rPr>
          <w:b/>
          <w:szCs w:val="24"/>
        </w:rPr>
      </w:pPr>
      <w:r w:rsidRPr="00F03806">
        <w:rPr>
          <w:b/>
          <w:szCs w:val="24"/>
        </w:rPr>
        <w:t xml:space="preserve">Белехова </w:t>
      </w:r>
      <w:r w:rsidR="009A1E92" w:rsidRPr="00F03806">
        <w:rPr>
          <w:b/>
          <w:szCs w:val="24"/>
        </w:rPr>
        <w:t>Г.В.</w:t>
      </w:r>
    </w:p>
    <w:p w:rsidR="0090683E" w:rsidRPr="00F03806" w:rsidRDefault="0090683E" w:rsidP="0090683E">
      <w:pPr>
        <w:rPr>
          <w:szCs w:val="24"/>
        </w:rPr>
      </w:pPr>
    </w:p>
    <w:p w:rsidR="0090683E" w:rsidRPr="00F03806" w:rsidRDefault="009A1E92" w:rsidP="00F6609E">
      <w:pPr>
        <w:jc w:val="center"/>
        <w:rPr>
          <w:szCs w:val="24"/>
        </w:rPr>
      </w:pPr>
      <w:r w:rsidRPr="00F03806">
        <w:rPr>
          <w:b/>
          <w:szCs w:val="24"/>
        </w:rPr>
        <w:t>УРО</w:t>
      </w:r>
      <w:r w:rsidR="00B331F9" w:rsidRPr="00F03806">
        <w:rPr>
          <w:b/>
          <w:szCs w:val="24"/>
        </w:rPr>
        <w:t>ВЕНЬ</w:t>
      </w:r>
      <w:r w:rsidRPr="00F03806">
        <w:rPr>
          <w:b/>
          <w:szCs w:val="24"/>
        </w:rPr>
        <w:t xml:space="preserve"> ЖИЗНИ НАСЕЛЕНИЯ РОССИИ</w:t>
      </w:r>
      <w:r w:rsidR="00B331F9" w:rsidRPr="00F03806">
        <w:rPr>
          <w:b/>
          <w:szCs w:val="24"/>
        </w:rPr>
        <w:t>: ИТОГИ</w:t>
      </w:r>
      <w:r w:rsidRPr="00F03806">
        <w:rPr>
          <w:b/>
          <w:szCs w:val="24"/>
        </w:rPr>
        <w:t xml:space="preserve"> 2008–2017 </w:t>
      </w:r>
      <w:r w:rsidR="009825DD" w:rsidRPr="00F03806">
        <w:rPr>
          <w:b/>
          <w:szCs w:val="24"/>
        </w:rPr>
        <w:t>гг</w:t>
      </w:r>
      <w:r w:rsidR="00B331F9" w:rsidRPr="00F03806">
        <w:rPr>
          <w:b/>
          <w:szCs w:val="24"/>
        </w:rPr>
        <w:t>.</w:t>
      </w:r>
    </w:p>
    <w:p w:rsidR="00B331F9" w:rsidRPr="00F03806" w:rsidRDefault="00B331F9" w:rsidP="009A1E92">
      <w:pPr>
        <w:shd w:val="clear" w:color="auto" w:fill="FFFFFF"/>
        <w:ind w:firstLine="540"/>
        <w:jc w:val="left"/>
        <w:rPr>
          <w:rFonts w:eastAsia="Times New Roman"/>
          <w:szCs w:val="24"/>
          <w:u w:val="single"/>
          <w:lang w:eastAsia="ru-RU"/>
        </w:rPr>
      </w:pPr>
    </w:p>
    <w:p w:rsidR="00F333C9" w:rsidRPr="00F03806" w:rsidRDefault="00B331F9" w:rsidP="00F333C9">
      <w:pPr>
        <w:shd w:val="clear" w:color="auto" w:fill="FFFFFF"/>
        <w:ind w:firstLine="709"/>
        <w:rPr>
          <w:rFonts w:eastAsia="Times New Roman"/>
          <w:i/>
          <w:iCs/>
          <w:szCs w:val="24"/>
          <w:lang w:eastAsia="ru-RU"/>
        </w:rPr>
      </w:pPr>
      <w:r w:rsidRPr="00F03806">
        <w:rPr>
          <w:rFonts w:eastAsia="Times New Roman"/>
          <w:b/>
          <w:bCs/>
          <w:szCs w:val="24"/>
          <w:lang w:eastAsia="ru-RU"/>
        </w:rPr>
        <w:t xml:space="preserve">Аннотация. </w:t>
      </w:r>
      <w:r w:rsidR="00F333C9" w:rsidRPr="00F03806">
        <w:rPr>
          <w:rFonts w:eastAsia="Times New Roman"/>
          <w:bCs/>
          <w:i/>
          <w:szCs w:val="24"/>
          <w:lang w:eastAsia="ru-RU"/>
        </w:rPr>
        <w:t xml:space="preserve">В статье представлена оценка изменений уровня жизни россиян за десятилетие, прошедшее после кризиса 2008 года. Показан тренд на стабилизацию большинства индикаторов материального положения, скрывающий сохраняющиеся проблемы глубокого социального неравенства.  </w:t>
      </w:r>
    </w:p>
    <w:p w:rsidR="009A1E92" w:rsidRPr="00F03806" w:rsidRDefault="00B331F9" w:rsidP="00F333C9">
      <w:pPr>
        <w:shd w:val="clear" w:color="auto" w:fill="FFFFFF"/>
        <w:ind w:firstLine="709"/>
        <w:jc w:val="left"/>
        <w:rPr>
          <w:rFonts w:eastAsia="Times New Roman"/>
          <w:szCs w:val="24"/>
          <w:lang w:eastAsia="ru-RU"/>
        </w:rPr>
      </w:pPr>
      <w:r w:rsidRPr="00F03806">
        <w:rPr>
          <w:rFonts w:eastAsia="Times New Roman"/>
          <w:b/>
          <w:bCs/>
          <w:szCs w:val="24"/>
          <w:lang w:eastAsia="ru-RU"/>
        </w:rPr>
        <w:t>Ключевые слова:</w:t>
      </w:r>
      <w:r w:rsidRPr="00F03806">
        <w:rPr>
          <w:rFonts w:eastAsia="Times New Roman"/>
          <w:bCs/>
          <w:szCs w:val="24"/>
          <w:lang w:eastAsia="ru-RU"/>
        </w:rPr>
        <w:t xml:space="preserve"> </w:t>
      </w:r>
      <w:r w:rsidRPr="00F03806">
        <w:rPr>
          <w:rFonts w:eastAsia="Times New Roman"/>
          <w:bCs/>
          <w:i/>
          <w:szCs w:val="24"/>
          <w:lang w:eastAsia="ru-RU"/>
        </w:rPr>
        <w:t>уровень жизни, неравенство, структура доходов, потребление</w:t>
      </w:r>
      <w:r w:rsidRPr="00F03806">
        <w:rPr>
          <w:rFonts w:eastAsia="Times New Roman"/>
          <w:bCs/>
          <w:szCs w:val="24"/>
          <w:lang w:eastAsia="ru-RU"/>
        </w:rPr>
        <w:t xml:space="preserve"> </w:t>
      </w:r>
    </w:p>
    <w:p w:rsidR="00F333C9" w:rsidRPr="00F03806" w:rsidRDefault="00F333C9" w:rsidP="00F333C9">
      <w:pPr>
        <w:ind w:firstLine="709"/>
        <w:rPr>
          <w:szCs w:val="24"/>
        </w:rPr>
      </w:pPr>
    </w:p>
    <w:p w:rsidR="00F6609E" w:rsidRPr="00F03806" w:rsidRDefault="00F6609E" w:rsidP="00F333C9">
      <w:pPr>
        <w:ind w:firstLine="709"/>
        <w:rPr>
          <w:szCs w:val="24"/>
        </w:rPr>
      </w:pPr>
      <w:r w:rsidRPr="00F03806">
        <w:rPr>
          <w:szCs w:val="24"/>
        </w:rPr>
        <w:t xml:space="preserve">Население – </w:t>
      </w:r>
      <w:r w:rsidR="00850604" w:rsidRPr="00F03806">
        <w:rPr>
          <w:szCs w:val="24"/>
        </w:rPr>
        <w:t>принципиально важны</w:t>
      </w:r>
      <w:r w:rsidRPr="00F03806">
        <w:rPr>
          <w:szCs w:val="24"/>
        </w:rPr>
        <w:t>й элемент</w:t>
      </w:r>
      <w:r w:rsidR="00850604" w:rsidRPr="00F03806">
        <w:rPr>
          <w:szCs w:val="24"/>
        </w:rPr>
        <w:t xml:space="preserve"> национальной экономической системы. </w:t>
      </w:r>
      <w:r w:rsidRPr="00F03806">
        <w:rPr>
          <w:szCs w:val="24"/>
        </w:rPr>
        <w:t>О</w:t>
      </w:r>
      <w:r w:rsidR="00850604" w:rsidRPr="00F03806">
        <w:rPr>
          <w:szCs w:val="24"/>
        </w:rPr>
        <w:t xml:space="preserve">но </w:t>
      </w:r>
      <w:r w:rsidRPr="00F03806">
        <w:rPr>
          <w:szCs w:val="24"/>
        </w:rPr>
        <w:t xml:space="preserve">не только является основной </w:t>
      </w:r>
      <w:r w:rsidR="00850604" w:rsidRPr="00F03806">
        <w:rPr>
          <w:szCs w:val="24"/>
        </w:rPr>
        <w:t>потребительской единицей, формируя за счет своих расходов более половины ВВП страны</w:t>
      </w:r>
      <w:r w:rsidR="00850604" w:rsidRPr="00F03806">
        <w:rPr>
          <w:rStyle w:val="a6"/>
          <w:szCs w:val="24"/>
        </w:rPr>
        <w:footnoteReference w:id="1"/>
      </w:r>
      <w:r w:rsidR="00850604" w:rsidRPr="00F03806">
        <w:rPr>
          <w:szCs w:val="24"/>
        </w:rPr>
        <w:t xml:space="preserve">, </w:t>
      </w:r>
      <w:r w:rsidRPr="00F03806">
        <w:rPr>
          <w:szCs w:val="24"/>
        </w:rPr>
        <w:t xml:space="preserve">но и </w:t>
      </w:r>
      <w:r w:rsidR="00D601D5" w:rsidRPr="00F03806">
        <w:rPr>
          <w:szCs w:val="24"/>
        </w:rPr>
        <w:t>обеспечивает экономику разнообразными ресурсами, в том числе финансовыми</w:t>
      </w:r>
      <w:r w:rsidR="00D601D5" w:rsidRPr="00F03806">
        <w:rPr>
          <w:rStyle w:val="a6"/>
          <w:szCs w:val="24"/>
        </w:rPr>
        <w:footnoteReference w:id="2"/>
      </w:r>
      <w:r w:rsidR="00244D33" w:rsidRPr="00F03806">
        <w:rPr>
          <w:szCs w:val="24"/>
        </w:rPr>
        <w:t xml:space="preserve">. Главой государства неоднократно подчеркивается важность населения как ключевого фактора прорывного развития </w:t>
      </w:r>
      <w:r w:rsidR="00BF3920" w:rsidRPr="00F03806">
        <w:rPr>
          <w:szCs w:val="24"/>
        </w:rPr>
        <w:t>страны и регулярно став</w:t>
      </w:r>
      <w:r w:rsidR="008C657C" w:rsidRPr="00F03806">
        <w:rPr>
          <w:szCs w:val="24"/>
        </w:rPr>
        <w:t>я</w:t>
      </w:r>
      <w:r w:rsidR="00BF3920" w:rsidRPr="00F03806">
        <w:rPr>
          <w:szCs w:val="24"/>
        </w:rPr>
        <w:t>тся задач</w:t>
      </w:r>
      <w:r w:rsidR="008C657C" w:rsidRPr="00F03806">
        <w:rPr>
          <w:szCs w:val="24"/>
        </w:rPr>
        <w:t>и</w:t>
      </w:r>
      <w:r w:rsidR="00BF3920" w:rsidRPr="00F03806">
        <w:rPr>
          <w:szCs w:val="24"/>
        </w:rPr>
        <w:t xml:space="preserve"> «</w:t>
      </w:r>
      <w:r w:rsidR="00244D33" w:rsidRPr="00F03806">
        <w:rPr>
          <w:szCs w:val="24"/>
        </w:rPr>
        <w:t>сбережени</w:t>
      </w:r>
      <w:r w:rsidR="00BF3920" w:rsidRPr="00F03806">
        <w:rPr>
          <w:szCs w:val="24"/>
        </w:rPr>
        <w:t>я</w:t>
      </w:r>
      <w:r w:rsidR="00244D33" w:rsidRPr="00F03806">
        <w:rPr>
          <w:szCs w:val="24"/>
        </w:rPr>
        <w:t xml:space="preserve"> народа России и </w:t>
      </w:r>
      <w:r w:rsidR="00BF3920" w:rsidRPr="00F03806">
        <w:rPr>
          <w:szCs w:val="24"/>
        </w:rPr>
        <w:t xml:space="preserve">обеспечения </w:t>
      </w:r>
      <w:r w:rsidR="00244D33" w:rsidRPr="00F03806">
        <w:rPr>
          <w:szCs w:val="24"/>
        </w:rPr>
        <w:t>благополучи</w:t>
      </w:r>
      <w:r w:rsidR="00BF3920" w:rsidRPr="00F03806">
        <w:rPr>
          <w:szCs w:val="24"/>
        </w:rPr>
        <w:t>я</w:t>
      </w:r>
      <w:r w:rsidR="00244D33" w:rsidRPr="00F03806">
        <w:rPr>
          <w:szCs w:val="24"/>
        </w:rPr>
        <w:t xml:space="preserve"> граждан</w:t>
      </w:r>
      <w:r w:rsidR="00BF3920" w:rsidRPr="00F03806">
        <w:rPr>
          <w:szCs w:val="24"/>
        </w:rPr>
        <w:t>»</w:t>
      </w:r>
      <w:r w:rsidR="00F03806" w:rsidRPr="00F03806">
        <w:rPr>
          <w:szCs w:val="24"/>
        </w:rPr>
        <w:t xml:space="preserve"> [7]</w:t>
      </w:r>
      <w:r w:rsidR="008C657C" w:rsidRPr="00F03806">
        <w:rPr>
          <w:szCs w:val="24"/>
        </w:rPr>
        <w:t xml:space="preserve">, предполагающие среди прочего обеспечение </w:t>
      </w:r>
      <w:r w:rsidR="00C33069" w:rsidRPr="00F03806">
        <w:rPr>
          <w:szCs w:val="24"/>
        </w:rPr>
        <w:t>высокого</w:t>
      </w:r>
      <w:r w:rsidR="00BF3920" w:rsidRPr="00F03806">
        <w:rPr>
          <w:szCs w:val="24"/>
        </w:rPr>
        <w:t xml:space="preserve"> уров</w:t>
      </w:r>
      <w:r w:rsidR="008C657C" w:rsidRPr="00F03806">
        <w:rPr>
          <w:szCs w:val="24"/>
        </w:rPr>
        <w:t>ня</w:t>
      </w:r>
      <w:r w:rsidR="00BF3920" w:rsidRPr="00F03806">
        <w:rPr>
          <w:szCs w:val="24"/>
        </w:rPr>
        <w:t xml:space="preserve"> жизни населения.</w:t>
      </w:r>
    </w:p>
    <w:p w:rsidR="009825DD" w:rsidRPr="00F03806" w:rsidRDefault="008C657C" w:rsidP="009A1E92">
      <w:pPr>
        <w:ind w:firstLine="709"/>
        <w:rPr>
          <w:szCs w:val="24"/>
          <w:lang w:eastAsia="ru-RU"/>
        </w:rPr>
      </w:pPr>
      <w:r w:rsidRPr="00F03806">
        <w:rPr>
          <w:szCs w:val="24"/>
          <w:lang w:eastAsia="ru-RU"/>
        </w:rPr>
        <w:t>Современная ситуация в сфере материального положения россиян во многом обусловлена влиянием происходившей в 1990-х годах трансформации социально-экономических институтов. Сформировавшиеся в тот</w:t>
      </w:r>
      <w:r w:rsidR="001E50CC" w:rsidRPr="00F03806">
        <w:rPr>
          <w:szCs w:val="24"/>
          <w:lang w:eastAsia="ru-RU"/>
        </w:rPr>
        <w:t xml:space="preserve"> период</w:t>
      </w:r>
      <w:r w:rsidRPr="00F03806">
        <w:rPr>
          <w:szCs w:val="24"/>
          <w:lang w:eastAsia="ru-RU"/>
        </w:rPr>
        <w:t xml:space="preserve"> </w:t>
      </w:r>
      <w:r w:rsidR="001E50CC" w:rsidRPr="00F03806">
        <w:rPr>
          <w:szCs w:val="24"/>
          <w:lang w:eastAsia="ru-RU"/>
        </w:rPr>
        <w:t xml:space="preserve">структура </w:t>
      </w:r>
      <w:r w:rsidRPr="00F03806">
        <w:rPr>
          <w:szCs w:val="24"/>
          <w:lang w:eastAsia="ru-RU"/>
        </w:rPr>
        <w:t>формирования и распределения доходов, соотношение доходных групп</w:t>
      </w:r>
      <w:r w:rsidR="001E50CC" w:rsidRPr="00F03806">
        <w:rPr>
          <w:szCs w:val="24"/>
          <w:lang w:eastAsia="ru-RU"/>
        </w:rPr>
        <w:t xml:space="preserve"> и другие показатели социального неравенства существенно не изменились, несмотря на экономический рост в середине 2000-х годов, последующий кризис 2008–2009 годов и экономический спад в 2015–2016 годах</w:t>
      </w:r>
      <w:r w:rsidR="001E50CC" w:rsidRPr="00F03806">
        <w:rPr>
          <w:rStyle w:val="a6"/>
          <w:szCs w:val="24"/>
          <w:lang w:eastAsia="ru-RU"/>
        </w:rPr>
        <w:footnoteReference w:id="3"/>
      </w:r>
      <w:r w:rsidR="009825DD" w:rsidRPr="00F03806">
        <w:rPr>
          <w:szCs w:val="24"/>
          <w:lang w:eastAsia="ru-RU"/>
        </w:rPr>
        <w:t>.</w:t>
      </w:r>
    </w:p>
    <w:p w:rsidR="006516A4" w:rsidRPr="00F03806" w:rsidRDefault="009825DD" w:rsidP="009A1E92">
      <w:pPr>
        <w:ind w:firstLine="709"/>
        <w:rPr>
          <w:szCs w:val="24"/>
        </w:rPr>
      </w:pPr>
      <w:r w:rsidRPr="00F03806">
        <w:rPr>
          <w:szCs w:val="24"/>
        </w:rPr>
        <w:t>О</w:t>
      </w:r>
      <w:r w:rsidR="008C657C" w:rsidRPr="00F03806">
        <w:rPr>
          <w:szCs w:val="24"/>
        </w:rPr>
        <w:t>тличительной чертой современной российской истории является затянувшийся спад уровня денежных доходов населения, означающий усиливающееся сжатие возможностей для личного потребления и сбережения.</w:t>
      </w:r>
      <w:r w:rsidRPr="00F03806">
        <w:rPr>
          <w:szCs w:val="24"/>
        </w:rPr>
        <w:t xml:space="preserve"> В 2018 г. темп прироста реальных денежных доходов населения был близок к нулю, в</w:t>
      </w:r>
      <w:r w:rsidR="00367929" w:rsidRPr="00F03806">
        <w:rPr>
          <w:szCs w:val="24"/>
        </w:rPr>
        <w:t xml:space="preserve"> 2017 году реальные доходы населения сократились на 1,7% (составили 98,3%) от уровня 2016 года, а кумулятивные потери в доходах за период 2014–2017 гг. по отношению к уровню 2013 года достигли 11,</w:t>
      </w:r>
      <w:r w:rsidR="006516A4" w:rsidRPr="00F03806">
        <w:rPr>
          <w:szCs w:val="24"/>
        </w:rPr>
        <w:t>4</w:t>
      </w:r>
      <w:r w:rsidR="00367929" w:rsidRPr="00F03806">
        <w:rPr>
          <w:szCs w:val="24"/>
        </w:rPr>
        <w:t>%</w:t>
      </w:r>
      <w:r w:rsidR="006516A4" w:rsidRPr="00F03806">
        <w:rPr>
          <w:szCs w:val="24"/>
        </w:rPr>
        <w:t xml:space="preserve"> (1,7% в 2017-м, 5,8% в 2016-м, 3,2% в 2015-м и 0,7% в 2014-м.)</w:t>
      </w:r>
      <w:r w:rsidR="00C33069" w:rsidRPr="00F03806">
        <w:rPr>
          <w:rStyle w:val="a6"/>
          <w:szCs w:val="24"/>
        </w:rPr>
        <w:footnoteReference w:id="4"/>
      </w:r>
      <w:r w:rsidR="00367929" w:rsidRPr="00F03806">
        <w:rPr>
          <w:szCs w:val="24"/>
        </w:rPr>
        <w:t>.</w:t>
      </w:r>
      <w:r w:rsidR="006516A4" w:rsidRPr="00F03806">
        <w:rPr>
          <w:szCs w:val="24"/>
        </w:rPr>
        <w:t xml:space="preserve"> </w:t>
      </w:r>
      <w:r w:rsidRPr="00F03806">
        <w:rPr>
          <w:szCs w:val="24"/>
        </w:rPr>
        <w:t>Д</w:t>
      </w:r>
      <w:r w:rsidR="00741677" w:rsidRPr="00F03806">
        <w:rPr>
          <w:szCs w:val="24"/>
        </w:rPr>
        <w:t xml:space="preserve">о сих пор не достигнуты </w:t>
      </w:r>
      <w:r w:rsidR="006516A4" w:rsidRPr="00F03806">
        <w:rPr>
          <w:szCs w:val="24"/>
        </w:rPr>
        <w:t xml:space="preserve">докризисные показатели по реальной заработной плате и </w:t>
      </w:r>
      <w:r w:rsidR="00741677" w:rsidRPr="00F03806">
        <w:rPr>
          <w:szCs w:val="24"/>
        </w:rPr>
        <w:t xml:space="preserve">размеру </w:t>
      </w:r>
      <w:r w:rsidR="006516A4" w:rsidRPr="00F03806">
        <w:rPr>
          <w:szCs w:val="24"/>
        </w:rPr>
        <w:t>назначенн</w:t>
      </w:r>
      <w:r w:rsidR="00741677" w:rsidRPr="00F03806">
        <w:rPr>
          <w:szCs w:val="24"/>
        </w:rPr>
        <w:t>ых</w:t>
      </w:r>
      <w:r w:rsidR="006516A4" w:rsidRPr="00F03806">
        <w:rPr>
          <w:szCs w:val="24"/>
        </w:rPr>
        <w:t xml:space="preserve"> пенси</w:t>
      </w:r>
      <w:r w:rsidR="00741677" w:rsidRPr="00F03806">
        <w:rPr>
          <w:szCs w:val="24"/>
        </w:rPr>
        <w:t>й</w:t>
      </w:r>
      <w:r w:rsidR="006516A4" w:rsidRPr="00F03806">
        <w:rPr>
          <w:rStyle w:val="a6"/>
          <w:szCs w:val="24"/>
        </w:rPr>
        <w:footnoteReference w:id="5"/>
      </w:r>
      <w:r w:rsidR="006516A4" w:rsidRPr="00F03806">
        <w:rPr>
          <w:szCs w:val="24"/>
        </w:rPr>
        <w:t>.</w:t>
      </w:r>
    </w:p>
    <w:p w:rsidR="009825DD" w:rsidRPr="00F03806" w:rsidRDefault="009825DD" w:rsidP="009A1E92">
      <w:pPr>
        <w:ind w:firstLine="709"/>
        <w:rPr>
          <w:szCs w:val="24"/>
        </w:rPr>
      </w:pPr>
      <w:r w:rsidRPr="00F03806">
        <w:rPr>
          <w:szCs w:val="24"/>
        </w:rPr>
        <w:t xml:space="preserve">Наблюдающееся </w:t>
      </w:r>
      <w:r w:rsidR="00C33069" w:rsidRPr="00F03806">
        <w:rPr>
          <w:szCs w:val="24"/>
        </w:rPr>
        <w:t xml:space="preserve">в 2017-2018 гг. </w:t>
      </w:r>
      <w:r w:rsidRPr="00F03806">
        <w:rPr>
          <w:szCs w:val="24"/>
        </w:rPr>
        <w:t>замедление темпов падения доходов обусловлено принимаемыми управленческими решениями, в результате которых удалось добиться заметного снижения общего уровня инфляции в 2016-2017 гг., а также осуществить пов</w:t>
      </w:r>
      <w:r w:rsidR="00C33069" w:rsidRPr="00F03806">
        <w:rPr>
          <w:szCs w:val="24"/>
        </w:rPr>
        <w:t>ышение МРОТ и размера зар</w:t>
      </w:r>
      <w:r w:rsidRPr="00F03806">
        <w:rPr>
          <w:szCs w:val="24"/>
        </w:rPr>
        <w:t xml:space="preserve">плат работникам бюджетной сферы </w:t>
      </w:r>
      <w:r w:rsidR="00CC26AF" w:rsidRPr="00F03806">
        <w:rPr>
          <w:szCs w:val="24"/>
        </w:rPr>
        <w:t xml:space="preserve">в рамках исполнения майских указов Президента РФ (в частности, в 2018 г. «в области «здравоохранения и социальных услуг» номинальная заработная плата увеличилась на 23,7% в годовом выражении, в секторе «образование» – на 14,2%, в области культуры, спорта, организации </w:t>
      </w:r>
      <w:r w:rsidR="00CC26AF" w:rsidRPr="00F03806">
        <w:rPr>
          <w:szCs w:val="24"/>
        </w:rPr>
        <w:lastRenderedPageBreak/>
        <w:t>досуга и развлечений – на 12,5%, в профессиональной, научной и технической деятельности – на 10,1%»</w:t>
      </w:r>
      <w:r w:rsidR="00F03806" w:rsidRPr="00F03806">
        <w:rPr>
          <w:szCs w:val="24"/>
        </w:rPr>
        <w:t xml:space="preserve"> [2]</w:t>
      </w:r>
      <w:r w:rsidR="00CC26AF" w:rsidRPr="00F03806">
        <w:rPr>
          <w:szCs w:val="24"/>
        </w:rPr>
        <w:t>).</w:t>
      </w:r>
      <w:r w:rsidRPr="00F03806">
        <w:rPr>
          <w:szCs w:val="24"/>
        </w:rPr>
        <w:t xml:space="preserve"> </w:t>
      </w:r>
    </w:p>
    <w:p w:rsidR="00FB42E0" w:rsidRPr="00F03806" w:rsidRDefault="00FB42E0" w:rsidP="009A1E92">
      <w:pPr>
        <w:ind w:firstLine="709"/>
        <w:rPr>
          <w:szCs w:val="24"/>
        </w:rPr>
      </w:pPr>
      <w:r w:rsidRPr="00F03806">
        <w:rPr>
          <w:szCs w:val="24"/>
        </w:rPr>
        <w:t xml:space="preserve">Общие показатели неравенства </w:t>
      </w:r>
      <w:r w:rsidR="00C128A9" w:rsidRPr="00F03806">
        <w:rPr>
          <w:szCs w:val="24"/>
        </w:rPr>
        <w:t>как за период стагфляции (2015–2017 гг.), так и за более длительной временной интервал (2</w:t>
      </w:r>
      <w:r w:rsidR="004A6989" w:rsidRPr="00F03806">
        <w:rPr>
          <w:szCs w:val="24"/>
        </w:rPr>
        <w:t>0</w:t>
      </w:r>
      <w:r w:rsidR="00C128A9" w:rsidRPr="00F03806">
        <w:rPr>
          <w:szCs w:val="24"/>
        </w:rPr>
        <w:t xml:space="preserve">08–2017 гг.) изменились несущественно (рис. </w:t>
      </w:r>
      <w:r w:rsidR="00755A13" w:rsidRPr="00F03806">
        <w:rPr>
          <w:szCs w:val="24"/>
        </w:rPr>
        <w:t>1</w:t>
      </w:r>
      <w:r w:rsidR="00C128A9" w:rsidRPr="00F03806">
        <w:rPr>
          <w:szCs w:val="24"/>
        </w:rPr>
        <w:t>)</w:t>
      </w:r>
      <w:r w:rsidR="004A6989" w:rsidRPr="00F03806">
        <w:rPr>
          <w:szCs w:val="24"/>
        </w:rPr>
        <w:t>, однако текущий уровень доходной дифференциации несколько ниже, чем до начала первой волны кризиса.</w:t>
      </w:r>
    </w:p>
    <w:p w:rsidR="00FB42E0" w:rsidRPr="00F03806" w:rsidRDefault="00C33069" w:rsidP="00755A13">
      <w:pPr>
        <w:jc w:val="center"/>
        <w:rPr>
          <w:szCs w:val="24"/>
        </w:rPr>
      </w:pPr>
      <w:r w:rsidRPr="00F03806">
        <w:rPr>
          <w:noProof/>
          <w:szCs w:val="24"/>
          <w:lang w:eastAsia="ru-RU"/>
        </w:rPr>
        <w:drawing>
          <wp:inline distT="0" distB="0" distL="0" distR="0" wp14:anchorId="1CED1882" wp14:editId="4ED1F7C9">
            <wp:extent cx="5438775" cy="22860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55A13" w:rsidRPr="00F03806" w:rsidRDefault="00755A13" w:rsidP="009A1E92">
      <w:pPr>
        <w:jc w:val="center"/>
        <w:rPr>
          <w:szCs w:val="24"/>
        </w:rPr>
      </w:pPr>
      <w:r w:rsidRPr="00F03806">
        <w:rPr>
          <w:szCs w:val="24"/>
        </w:rPr>
        <w:t>Рисунок 1. Уровень доходного неравенства, 2008–2017 гг.</w:t>
      </w:r>
    </w:p>
    <w:p w:rsidR="00E276F6" w:rsidRPr="00F03806" w:rsidRDefault="00E276F6" w:rsidP="009A1E92">
      <w:pPr>
        <w:rPr>
          <w:szCs w:val="24"/>
        </w:rPr>
      </w:pPr>
      <w:r w:rsidRPr="00F03806">
        <w:rPr>
          <w:szCs w:val="24"/>
        </w:rPr>
        <w:t>Источник: Росстат.</w:t>
      </w:r>
    </w:p>
    <w:p w:rsidR="00F6609E" w:rsidRPr="00F03806" w:rsidRDefault="00F6609E" w:rsidP="009A1E92">
      <w:pPr>
        <w:ind w:firstLine="709"/>
        <w:rPr>
          <w:szCs w:val="24"/>
        </w:rPr>
      </w:pPr>
    </w:p>
    <w:p w:rsidR="00FB42E0" w:rsidRPr="00F03806" w:rsidRDefault="00E276F6" w:rsidP="009A1E92">
      <w:pPr>
        <w:ind w:firstLine="709"/>
        <w:rPr>
          <w:szCs w:val="24"/>
        </w:rPr>
      </w:pPr>
      <w:r w:rsidRPr="00F03806">
        <w:rPr>
          <w:szCs w:val="24"/>
        </w:rPr>
        <w:t>По итогам 2017 г. дол</w:t>
      </w:r>
      <w:r w:rsidR="004A6989" w:rsidRPr="00F03806">
        <w:rPr>
          <w:szCs w:val="24"/>
        </w:rPr>
        <w:t>я доходов</w:t>
      </w:r>
      <w:r w:rsidRPr="00F03806">
        <w:rPr>
          <w:szCs w:val="24"/>
        </w:rPr>
        <w:t xml:space="preserve"> </w:t>
      </w:r>
      <w:r w:rsidR="004A6989" w:rsidRPr="00F03806">
        <w:rPr>
          <w:szCs w:val="24"/>
        </w:rPr>
        <w:t xml:space="preserve">20% наиболее обеспеченных граждан составила 47,0%, а 20% наименее обеспеченных </w:t>
      </w:r>
      <w:r w:rsidRPr="00F03806">
        <w:rPr>
          <w:szCs w:val="24"/>
        </w:rPr>
        <w:t>–</w:t>
      </w:r>
      <w:r w:rsidR="004A6989" w:rsidRPr="00F03806">
        <w:rPr>
          <w:szCs w:val="24"/>
        </w:rPr>
        <w:t xml:space="preserve"> 5,3% от общего объёма</w:t>
      </w:r>
      <w:r w:rsidRPr="00F03806">
        <w:rPr>
          <w:szCs w:val="24"/>
        </w:rPr>
        <w:t xml:space="preserve"> денежных доходов населения</w:t>
      </w:r>
      <w:r w:rsidR="004A6989" w:rsidRPr="00F03806">
        <w:rPr>
          <w:szCs w:val="24"/>
        </w:rPr>
        <w:t xml:space="preserve">. </w:t>
      </w:r>
      <w:r w:rsidRPr="00F03806">
        <w:rPr>
          <w:szCs w:val="24"/>
        </w:rPr>
        <w:t>Аналогичные</w:t>
      </w:r>
      <w:r w:rsidR="004A6989" w:rsidRPr="00F03806">
        <w:rPr>
          <w:szCs w:val="24"/>
        </w:rPr>
        <w:t xml:space="preserve"> показатели </w:t>
      </w:r>
      <w:r w:rsidR="00CB52BD" w:rsidRPr="00F03806">
        <w:rPr>
          <w:szCs w:val="24"/>
        </w:rPr>
        <w:t xml:space="preserve">зафиксированы </w:t>
      </w:r>
      <w:r w:rsidR="004A6989" w:rsidRPr="00F03806">
        <w:rPr>
          <w:szCs w:val="24"/>
        </w:rPr>
        <w:t xml:space="preserve">как в 2016 году (47,1% и 5,3% соответственно), так и в </w:t>
      </w:r>
      <w:r w:rsidR="00CB52BD" w:rsidRPr="00F03806">
        <w:rPr>
          <w:szCs w:val="24"/>
        </w:rPr>
        <w:t xml:space="preserve">начале периода спада доходов в </w:t>
      </w:r>
      <w:r w:rsidR="004A6989" w:rsidRPr="00F03806">
        <w:rPr>
          <w:szCs w:val="24"/>
        </w:rPr>
        <w:t xml:space="preserve">2014 году (47,2% и 5,3%). </w:t>
      </w:r>
      <w:r w:rsidR="00CB52BD" w:rsidRPr="00F03806">
        <w:rPr>
          <w:szCs w:val="24"/>
        </w:rPr>
        <w:t>Иначе говоря,</w:t>
      </w:r>
      <w:r w:rsidR="004A6989" w:rsidRPr="00F03806">
        <w:rPr>
          <w:szCs w:val="24"/>
        </w:rPr>
        <w:t xml:space="preserve"> снижение неравенства в период 2014</w:t>
      </w:r>
      <w:r w:rsidR="00623CC1" w:rsidRPr="00F03806">
        <w:rPr>
          <w:szCs w:val="24"/>
        </w:rPr>
        <w:t>–</w:t>
      </w:r>
      <w:r w:rsidR="004A6989" w:rsidRPr="00F03806">
        <w:rPr>
          <w:szCs w:val="24"/>
        </w:rPr>
        <w:t>2017 годов происходило в основном за счет сокращения концентрации доходов в относительно обеспеченных группах населения</w:t>
      </w:r>
      <w:r w:rsidR="00CB52BD" w:rsidRPr="00F03806">
        <w:rPr>
          <w:szCs w:val="24"/>
        </w:rPr>
        <w:t>, которые в большей степени «пострадали» из-за</w:t>
      </w:r>
      <w:r w:rsidR="004A6989" w:rsidRPr="00F03806">
        <w:rPr>
          <w:szCs w:val="24"/>
        </w:rPr>
        <w:t xml:space="preserve"> </w:t>
      </w:r>
      <w:r w:rsidR="00CB52BD" w:rsidRPr="00F03806">
        <w:rPr>
          <w:szCs w:val="24"/>
        </w:rPr>
        <w:t>снижения премиальных выплат, замедления темпов роста зарплат, а также сокращения доходов от предпринимательства и собственности, имевшие место быть во время</w:t>
      </w:r>
      <w:r w:rsidR="004A6989" w:rsidRPr="00F03806">
        <w:rPr>
          <w:szCs w:val="24"/>
        </w:rPr>
        <w:t xml:space="preserve"> экономического спада</w:t>
      </w:r>
      <w:r w:rsidR="00CB52BD" w:rsidRPr="00F03806">
        <w:rPr>
          <w:szCs w:val="24"/>
        </w:rPr>
        <w:t>.</w:t>
      </w:r>
    </w:p>
    <w:p w:rsidR="00623CC1" w:rsidRPr="00F03806" w:rsidRDefault="00636A8F" w:rsidP="009A1E92">
      <w:pPr>
        <w:ind w:firstLine="709"/>
        <w:rPr>
          <w:szCs w:val="24"/>
        </w:rPr>
      </w:pPr>
      <w:r w:rsidRPr="00F03806">
        <w:rPr>
          <w:szCs w:val="24"/>
        </w:rPr>
        <w:t xml:space="preserve">Кризисные процессы отразились </w:t>
      </w:r>
      <w:r w:rsidR="00623CC1" w:rsidRPr="00F03806">
        <w:rPr>
          <w:szCs w:val="24"/>
        </w:rPr>
        <w:t xml:space="preserve">на структуре </w:t>
      </w:r>
      <w:r w:rsidR="00244D33" w:rsidRPr="00F03806">
        <w:rPr>
          <w:szCs w:val="24"/>
        </w:rPr>
        <w:t xml:space="preserve">формирования </w:t>
      </w:r>
      <w:r w:rsidR="00623CC1" w:rsidRPr="00F03806">
        <w:rPr>
          <w:szCs w:val="24"/>
        </w:rPr>
        <w:t>денежных доход</w:t>
      </w:r>
      <w:r w:rsidR="009825DD" w:rsidRPr="00F03806">
        <w:rPr>
          <w:szCs w:val="24"/>
        </w:rPr>
        <w:t>ов россиян:</w:t>
      </w:r>
      <w:r w:rsidR="00623CC1" w:rsidRPr="00F03806">
        <w:rPr>
          <w:szCs w:val="24"/>
        </w:rPr>
        <w:t xml:space="preserve"> </w:t>
      </w:r>
      <w:r w:rsidR="009825DD" w:rsidRPr="00F03806">
        <w:rPr>
          <w:szCs w:val="24"/>
        </w:rPr>
        <w:t>н</w:t>
      </w:r>
      <w:r w:rsidR="00244D33" w:rsidRPr="00F03806">
        <w:rPr>
          <w:szCs w:val="24"/>
        </w:rPr>
        <w:t>аряду со стабильно высокой долей заработной платы, заметно вырос</w:t>
      </w:r>
      <w:r w:rsidR="009825DD" w:rsidRPr="00F03806">
        <w:rPr>
          <w:szCs w:val="24"/>
        </w:rPr>
        <w:t>ла</w:t>
      </w:r>
      <w:r w:rsidR="00244D33" w:rsidRPr="00F03806">
        <w:rPr>
          <w:szCs w:val="24"/>
        </w:rPr>
        <w:t xml:space="preserve"> доля </w:t>
      </w:r>
      <w:r w:rsidR="00623CC1" w:rsidRPr="00F03806">
        <w:rPr>
          <w:szCs w:val="24"/>
        </w:rPr>
        <w:t>социальных выплат</w:t>
      </w:r>
      <w:r w:rsidR="00623CC1" w:rsidRPr="00F03806">
        <w:rPr>
          <w:rStyle w:val="a6"/>
          <w:szCs w:val="24"/>
        </w:rPr>
        <w:footnoteReference w:id="6"/>
      </w:r>
      <w:r w:rsidR="00623CC1" w:rsidRPr="00F03806">
        <w:rPr>
          <w:szCs w:val="24"/>
        </w:rPr>
        <w:t xml:space="preserve"> и сокра</w:t>
      </w:r>
      <w:r w:rsidR="009825DD" w:rsidRPr="00F03806">
        <w:rPr>
          <w:szCs w:val="24"/>
        </w:rPr>
        <w:t xml:space="preserve">тился </w:t>
      </w:r>
      <w:r w:rsidR="00244D33" w:rsidRPr="00F03806">
        <w:rPr>
          <w:szCs w:val="24"/>
        </w:rPr>
        <w:t xml:space="preserve">вклад </w:t>
      </w:r>
      <w:r w:rsidR="00623CC1" w:rsidRPr="00F03806">
        <w:rPr>
          <w:szCs w:val="24"/>
        </w:rPr>
        <w:t>доход</w:t>
      </w:r>
      <w:r w:rsidR="00244D33" w:rsidRPr="00F03806">
        <w:rPr>
          <w:szCs w:val="24"/>
        </w:rPr>
        <w:t>ов</w:t>
      </w:r>
      <w:r w:rsidR="00623CC1" w:rsidRPr="00F03806">
        <w:rPr>
          <w:szCs w:val="24"/>
        </w:rPr>
        <w:t xml:space="preserve"> от предпринимательской деятельности</w:t>
      </w:r>
      <w:r w:rsidR="00244D33" w:rsidRPr="00F03806">
        <w:rPr>
          <w:szCs w:val="24"/>
        </w:rPr>
        <w:t xml:space="preserve"> и от собственности</w:t>
      </w:r>
      <w:r w:rsidR="00623CC1" w:rsidRPr="00F03806">
        <w:rPr>
          <w:szCs w:val="24"/>
        </w:rPr>
        <w:t xml:space="preserve"> (табл. </w:t>
      </w:r>
      <w:r w:rsidR="00B331F9" w:rsidRPr="00F03806">
        <w:rPr>
          <w:szCs w:val="24"/>
        </w:rPr>
        <w:t>1</w:t>
      </w:r>
      <w:r w:rsidR="00623CC1" w:rsidRPr="00F03806">
        <w:rPr>
          <w:szCs w:val="24"/>
        </w:rPr>
        <w:t>).</w:t>
      </w:r>
    </w:p>
    <w:p w:rsidR="00B331F9" w:rsidRPr="00F03806" w:rsidRDefault="004A6989" w:rsidP="00B331F9">
      <w:pPr>
        <w:jc w:val="right"/>
        <w:rPr>
          <w:i/>
          <w:szCs w:val="24"/>
        </w:rPr>
      </w:pPr>
      <w:r w:rsidRPr="00F03806">
        <w:rPr>
          <w:i/>
          <w:szCs w:val="24"/>
        </w:rPr>
        <w:t xml:space="preserve">Таблица </w:t>
      </w:r>
      <w:r w:rsidR="00B331F9" w:rsidRPr="00F03806">
        <w:rPr>
          <w:i/>
          <w:szCs w:val="24"/>
        </w:rPr>
        <w:t>1</w:t>
      </w:r>
    </w:p>
    <w:p w:rsidR="004A6989" w:rsidRPr="00F03806" w:rsidRDefault="004A6989" w:rsidP="00B331F9">
      <w:pPr>
        <w:rPr>
          <w:szCs w:val="24"/>
        </w:rPr>
      </w:pPr>
      <w:r w:rsidRPr="00F03806">
        <w:rPr>
          <w:szCs w:val="24"/>
        </w:rPr>
        <w:t>Структура денежных доходов населения РФ</w:t>
      </w:r>
      <w:r w:rsidR="00EA3310" w:rsidRPr="00F03806">
        <w:rPr>
          <w:szCs w:val="24"/>
        </w:rPr>
        <w:t>, в % от общего объема денежных доходов</w:t>
      </w:r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2368"/>
        <w:gridCol w:w="727"/>
        <w:gridCol w:w="728"/>
        <w:gridCol w:w="727"/>
        <w:gridCol w:w="727"/>
        <w:gridCol w:w="727"/>
        <w:gridCol w:w="727"/>
        <w:gridCol w:w="727"/>
        <w:gridCol w:w="727"/>
        <w:gridCol w:w="727"/>
        <w:gridCol w:w="727"/>
      </w:tblGrid>
      <w:tr w:rsidR="00E276F6" w:rsidRPr="00F03806" w:rsidTr="00BE621D">
        <w:trPr>
          <w:trHeight w:val="300"/>
          <w:jc w:val="center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F6" w:rsidRPr="00F03806" w:rsidRDefault="00545223" w:rsidP="005452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Источник дохода</w:t>
            </w:r>
          </w:p>
        </w:tc>
        <w:tc>
          <w:tcPr>
            <w:tcW w:w="76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F6" w:rsidRPr="00F03806" w:rsidRDefault="00E276F6" w:rsidP="004A69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Год</w:t>
            </w:r>
          </w:p>
        </w:tc>
      </w:tr>
      <w:tr w:rsidR="00E276F6" w:rsidRPr="00F03806" w:rsidTr="00BE621D">
        <w:trPr>
          <w:trHeight w:val="300"/>
          <w:jc w:val="center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F6" w:rsidRPr="00F03806" w:rsidRDefault="00E276F6" w:rsidP="004A6989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F6" w:rsidRPr="00F03806" w:rsidRDefault="00E276F6" w:rsidP="004A69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2008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F6" w:rsidRPr="00F03806" w:rsidRDefault="00E276F6" w:rsidP="004A69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2009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F6" w:rsidRPr="00F03806" w:rsidRDefault="00E276F6" w:rsidP="004A69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2010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F6" w:rsidRPr="00F03806" w:rsidRDefault="00E276F6" w:rsidP="004A69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2011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F6" w:rsidRPr="00F03806" w:rsidRDefault="00E276F6" w:rsidP="004A69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2012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F6" w:rsidRPr="00F03806" w:rsidRDefault="00E276F6" w:rsidP="004A69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2013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F6" w:rsidRPr="00F03806" w:rsidRDefault="00E276F6" w:rsidP="004A69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2014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F6" w:rsidRPr="00F03806" w:rsidRDefault="00E276F6" w:rsidP="004A69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2015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F6" w:rsidRPr="00F03806" w:rsidRDefault="00E276F6" w:rsidP="00E276F6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2016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F6" w:rsidRPr="00F03806" w:rsidRDefault="00E276F6" w:rsidP="004A69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2017</w:t>
            </w:r>
          </w:p>
        </w:tc>
      </w:tr>
      <w:tr w:rsidR="00623CC1" w:rsidRPr="00F03806" w:rsidTr="00BE621D">
        <w:trPr>
          <w:trHeight w:val="525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89" w:rsidRPr="00F03806" w:rsidRDefault="004A6989" w:rsidP="00623CC1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Оплата труда, включая скрытую заработную плату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89" w:rsidRPr="00F03806" w:rsidRDefault="004A6989" w:rsidP="004A69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68,4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89" w:rsidRPr="00F03806" w:rsidRDefault="004A6989" w:rsidP="004A69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67,3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89" w:rsidRPr="00F03806" w:rsidRDefault="004A6989" w:rsidP="004A69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65,2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89" w:rsidRPr="00F03806" w:rsidRDefault="004A6989" w:rsidP="004A69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65,6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89" w:rsidRPr="00F03806" w:rsidRDefault="004A6989" w:rsidP="004A69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65,1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89" w:rsidRPr="00F03806" w:rsidRDefault="004A6989" w:rsidP="004A69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65,3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89" w:rsidRPr="00F03806" w:rsidRDefault="004A6989" w:rsidP="004A69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65,8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89" w:rsidRPr="00F03806" w:rsidRDefault="004A6989" w:rsidP="004A69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65,6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89" w:rsidRPr="00F03806" w:rsidRDefault="004A6989" w:rsidP="004A69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64,6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89" w:rsidRPr="00F03806" w:rsidRDefault="004A6989" w:rsidP="004A69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65,1</w:t>
            </w:r>
          </w:p>
        </w:tc>
      </w:tr>
      <w:tr w:rsidR="00623CC1" w:rsidRPr="00F03806" w:rsidTr="00BE621D">
        <w:trPr>
          <w:trHeight w:val="30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89" w:rsidRPr="00F03806" w:rsidRDefault="004A6989" w:rsidP="00623CC1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Социальные выплаты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89" w:rsidRPr="00F03806" w:rsidRDefault="004A6989" w:rsidP="004A69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13,2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89" w:rsidRPr="00F03806" w:rsidRDefault="004A6989" w:rsidP="004A69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14,8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89" w:rsidRPr="00F03806" w:rsidRDefault="004A6989" w:rsidP="004A69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17,7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89" w:rsidRPr="00F03806" w:rsidRDefault="004A6989" w:rsidP="004A69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18,3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89" w:rsidRPr="00F03806" w:rsidRDefault="004A6989" w:rsidP="004A69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18,4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89" w:rsidRPr="00F03806" w:rsidRDefault="004A6989" w:rsidP="004A69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18,6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89" w:rsidRPr="00F03806" w:rsidRDefault="004A6989" w:rsidP="004A69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18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89" w:rsidRPr="00F03806" w:rsidRDefault="004A6989" w:rsidP="004A69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18,3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89" w:rsidRPr="00F03806" w:rsidRDefault="004A6989" w:rsidP="004A69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19,1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89" w:rsidRPr="00F03806" w:rsidRDefault="004A6989" w:rsidP="004A69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19,8</w:t>
            </w:r>
          </w:p>
        </w:tc>
      </w:tr>
      <w:tr w:rsidR="00623CC1" w:rsidRPr="00F03806" w:rsidTr="00BE621D">
        <w:trPr>
          <w:trHeight w:val="525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89" w:rsidRPr="00F03806" w:rsidRDefault="004A6989" w:rsidP="00623CC1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Доходы от предпринимательской деятельности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89" w:rsidRPr="00F03806" w:rsidRDefault="004A6989" w:rsidP="004A69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10,2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89" w:rsidRPr="00F03806" w:rsidRDefault="004A6989" w:rsidP="004A69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9,5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89" w:rsidRPr="00F03806" w:rsidRDefault="004A6989" w:rsidP="004A69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8,9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89" w:rsidRPr="00F03806" w:rsidRDefault="004A6989" w:rsidP="004A69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8,9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89" w:rsidRPr="00F03806" w:rsidRDefault="004A6989" w:rsidP="004A69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9,4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89" w:rsidRPr="00F03806" w:rsidRDefault="004A6989" w:rsidP="004A69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8,6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89" w:rsidRPr="00F03806" w:rsidRDefault="004A6989" w:rsidP="004A69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8,4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89" w:rsidRPr="00F03806" w:rsidRDefault="004A6989" w:rsidP="004A69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7,9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89" w:rsidRPr="00F03806" w:rsidRDefault="004A6989" w:rsidP="004A69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7,8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89" w:rsidRPr="00F03806" w:rsidRDefault="004A6989" w:rsidP="004A69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7,6</w:t>
            </w:r>
          </w:p>
        </w:tc>
      </w:tr>
      <w:tr w:rsidR="00623CC1" w:rsidRPr="00F03806" w:rsidTr="00BE621D">
        <w:trPr>
          <w:trHeight w:val="30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89" w:rsidRPr="00F03806" w:rsidRDefault="004A6989" w:rsidP="00623CC1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lastRenderedPageBreak/>
              <w:t>Доходы от собственности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89" w:rsidRPr="00F03806" w:rsidRDefault="004A6989" w:rsidP="004A69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6,2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89" w:rsidRPr="00F03806" w:rsidRDefault="004A6989" w:rsidP="004A69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6,4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89" w:rsidRPr="00F03806" w:rsidRDefault="004A6989" w:rsidP="004A69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6,2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89" w:rsidRPr="00F03806" w:rsidRDefault="004A6989" w:rsidP="004A69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5,2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89" w:rsidRPr="00F03806" w:rsidRDefault="004A6989" w:rsidP="004A69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5,1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89" w:rsidRPr="00F03806" w:rsidRDefault="004A6989" w:rsidP="004A69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5,5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89" w:rsidRPr="00F03806" w:rsidRDefault="004A6989" w:rsidP="004A69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5,8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89" w:rsidRPr="00F03806" w:rsidRDefault="004A6989" w:rsidP="004A69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6,2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89" w:rsidRPr="00F03806" w:rsidRDefault="004A6989" w:rsidP="004A69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6,5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89" w:rsidRPr="00F03806" w:rsidRDefault="004A6989" w:rsidP="004A69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5,5</w:t>
            </w:r>
          </w:p>
        </w:tc>
      </w:tr>
      <w:tr w:rsidR="00623CC1" w:rsidRPr="00F03806" w:rsidTr="00BE621D">
        <w:trPr>
          <w:trHeight w:val="30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89" w:rsidRPr="00F03806" w:rsidRDefault="004A6989" w:rsidP="00623CC1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Прочие доходы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89" w:rsidRPr="00F03806" w:rsidRDefault="004A6989" w:rsidP="004A69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89" w:rsidRPr="00F03806" w:rsidRDefault="004A6989" w:rsidP="004A69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89" w:rsidRPr="00F03806" w:rsidRDefault="004A6989" w:rsidP="004A69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89" w:rsidRPr="00F03806" w:rsidRDefault="004A6989" w:rsidP="004A69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89" w:rsidRPr="00F03806" w:rsidRDefault="004A6989" w:rsidP="004A69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89" w:rsidRPr="00F03806" w:rsidRDefault="004A6989" w:rsidP="004A69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89" w:rsidRPr="00F03806" w:rsidRDefault="004A6989" w:rsidP="004A69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89" w:rsidRPr="00F03806" w:rsidRDefault="004A6989" w:rsidP="004A69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89" w:rsidRPr="00F03806" w:rsidRDefault="004A6989" w:rsidP="004A69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89" w:rsidRPr="00F03806" w:rsidRDefault="004A6989" w:rsidP="004A69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</w:tbl>
    <w:p w:rsidR="00CB52BD" w:rsidRPr="00F03806" w:rsidRDefault="00CB52BD" w:rsidP="00CB52BD">
      <w:pPr>
        <w:rPr>
          <w:szCs w:val="24"/>
        </w:rPr>
      </w:pPr>
      <w:r w:rsidRPr="00F03806">
        <w:rPr>
          <w:szCs w:val="24"/>
        </w:rPr>
        <w:t>Источник: Росстат.</w:t>
      </w:r>
    </w:p>
    <w:p w:rsidR="001A7C58" w:rsidRPr="00F03806" w:rsidRDefault="001A7C58" w:rsidP="006E5837">
      <w:pPr>
        <w:rPr>
          <w:szCs w:val="24"/>
        </w:rPr>
      </w:pPr>
    </w:p>
    <w:p w:rsidR="009825DD" w:rsidRPr="00F03806" w:rsidRDefault="009825DD" w:rsidP="009A1E92">
      <w:pPr>
        <w:ind w:firstLine="709"/>
        <w:rPr>
          <w:szCs w:val="24"/>
        </w:rPr>
      </w:pPr>
      <w:r w:rsidRPr="00F03806">
        <w:rPr>
          <w:szCs w:val="24"/>
        </w:rPr>
        <w:t xml:space="preserve">Отсутствие заметных позитивных изменений в жизни россиян за период экономической нестабильности подтверждается самооценками их финансового положения (табл. </w:t>
      </w:r>
      <w:r w:rsidR="00B331F9" w:rsidRPr="00F03806">
        <w:rPr>
          <w:szCs w:val="24"/>
        </w:rPr>
        <w:t>2</w:t>
      </w:r>
      <w:r w:rsidRPr="00F03806">
        <w:rPr>
          <w:szCs w:val="24"/>
        </w:rPr>
        <w:t xml:space="preserve">). В 2017 г., как и в 2008 г., самой распространенной прослойкой в российском обществе являются «малообеспеченные», которые не могут позволить себе даже покупку товаров длительного пользования (почти 50%).  </w:t>
      </w:r>
    </w:p>
    <w:p w:rsidR="00B331F9" w:rsidRPr="00F03806" w:rsidRDefault="00B331F9" w:rsidP="00B331F9">
      <w:pPr>
        <w:jc w:val="right"/>
        <w:rPr>
          <w:i/>
          <w:szCs w:val="24"/>
        </w:rPr>
      </w:pPr>
      <w:r w:rsidRPr="00F03806">
        <w:rPr>
          <w:i/>
          <w:szCs w:val="24"/>
        </w:rPr>
        <w:t>Таблица 2</w:t>
      </w:r>
    </w:p>
    <w:p w:rsidR="00755A13" w:rsidRPr="00F03806" w:rsidRDefault="00755A13" w:rsidP="00B331F9">
      <w:pPr>
        <w:jc w:val="center"/>
        <w:rPr>
          <w:szCs w:val="24"/>
        </w:rPr>
      </w:pPr>
      <w:r w:rsidRPr="00F03806">
        <w:rPr>
          <w:szCs w:val="24"/>
        </w:rPr>
        <w:t>Самооценка финансового положения населением РФ</w:t>
      </w:r>
      <w:r w:rsidR="00EA3310" w:rsidRPr="00F03806">
        <w:rPr>
          <w:szCs w:val="24"/>
        </w:rPr>
        <w:t>, в % от общего числа опрошенных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1"/>
        <w:gridCol w:w="714"/>
        <w:gridCol w:w="714"/>
        <w:gridCol w:w="714"/>
        <w:gridCol w:w="713"/>
        <w:gridCol w:w="714"/>
        <w:gridCol w:w="714"/>
        <w:gridCol w:w="713"/>
        <w:gridCol w:w="714"/>
        <w:gridCol w:w="714"/>
        <w:gridCol w:w="714"/>
      </w:tblGrid>
      <w:tr w:rsidR="003D6B0C" w:rsidRPr="00F03806" w:rsidTr="00BE621D">
        <w:trPr>
          <w:trHeight w:val="300"/>
          <w:jc w:val="center"/>
        </w:trPr>
        <w:tc>
          <w:tcPr>
            <w:tcW w:w="2660" w:type="dxa"/>
            <w:vMerge w:val="restart"/>
            <w:shd w:val="clear" w:color="auto" w:fill="auto"/>
            <w:vAlign w:val="center"/>
            <w:hideMark/>
          </w:tcPr>
          <w:p w:rsidR="00545223" w:rsidRPr="00F03806" w:rsidRDefault="00545223" w:rsidP="005452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Характеристика</w:t>
            </w:r>
          </w:p>
        </w:tc>
        <w:tc>
          <w:tcPr>
            <w:tcW w:w="7477" w:type="dxa"/>
            <w:gridSpan w:val="10"/>
            <w:shd w:val="clear" w:color="auto" w:fill="auto"/>
            <w:noWrap/>
            <w:vAlign w:val="center"/>
            <w:hideMark/>
          </w:tcPr>
          <w:p w:rsidR="00545223" w:rsidRPr="00F03806" w:rsidRDefault="00545223" w:rsidP="00755A1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Год</w:t>
            </w:r>
          </w:p>
        </w:tc>
      </w:tr>
      <w:tr w:rsidR="00545223" w:rsidRPr="00F03806" w:rsidTr="00BE621D">
        <w:trPr>
          <w:trHeight w:val="300"/>
          <w:jc w:val="center"/>
        </w:trPr>
        <w:tc>
          <w:tcPr>
            <w:tcW w:w="2660" w:type="dxa"/>
            <w:vMerge/>
            <w:shd w:val="clear" w:color="auto" w:fill="auto"/>
            <w:vAlign w:val="bottom"/>
            <w:hideMark/>
          </w:tcPr>
          <w:p w:rsidR="00545223" w:rsidRPr="00F03806" w:rsidRDefault="00545223" w:rsidP="00755A13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45223" w:rsidRPr="00F03806" w:rsidRDefault="00545223" w:rsidP="005452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2008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545223" w:rsidRPr="00F03806" w:rsidRDefault="00545223" w:rsidP="005452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2009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545223" w:rsidRPr="00F03806" w:rsidRDefault="00545223" w:rsidP="005452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2010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45223" w:rsidRPr="00F03806" w:rsidRDefault="00545223" w:rsidP="005452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2011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545223" w:rsidRPr="00F03806" w:rsidRDefault="00545223" w:rsidP="005452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2012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545223" w:rsidRPr="00F03806" w:rsidRDefault="00545223" w:rsidP="005452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2013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45223" w:rsidRPr="00F03806" w:rsidRDefault="00545223" w:rsidP="005452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2014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545223" w:rsidRPr="00F03806" w:rsidRDefault="00545223" w:rsidP="005452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2015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545223" w:rsidRPr="00F03806" w:rsidRDefault="00545223" w:rsidP="005452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2016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545223" w:rsidRPr="00F03806" w:rsidRDefault="00545223" w:rsidP="005452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2017</w:t>
            </w:r>
          </w:p>
        </w:tc>
      </w:tr>
      <w:tr w:rsidR="00545223" w:rsidRPr="00F03806" w:rsidTr="00BE621D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755A13" w:rsidRPr="00F03806" w:rsidRDefault="00755A13" w:rsidP="00545223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не хватает денег даже на еду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755A13" w:rsidRPr="00F03806" w:rsidRDefault="00755A13" w:rsidP="00755A1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1,9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755A13" w:rsidRPr="00F03806" w:rsidRDefault="00755A13" w:rsidP="00755A1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1,6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755A13" w:rsidRPr="00F03806" w:rsidRDefault="00755A13" w:rsidP="00755A1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1,8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755A13" w:rsidRPr="00F03806" w:rsidRDefault="00755A13" w:rsidP="00755A1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1,5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755A13" w:rsidRPr="00F03806" w:rsidRDefault="00755A13" w:rsidP="00755A1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1,4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755A13" w:rsidRPr="00F03806" w:rsidRDefault="00755A13" w:rsidP="00755A1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1,2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755A13" w:rsidRPr="00F03806" w:rsidRDefault="00755A13" w:rsidP="00755A1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1,1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755A13" w:rsidRPr="00F03806" w:rsidRDefault="00755A13" w:rsidP="00755A1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1,2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755A13" w:rsidRPr="00F03806" w:rsidRDefault="00755A13" w:rsidP="00755A1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755A13" w:rsidRPr="00F03806" w:rsidRDefault="00755A13" w:rsidP="00755A1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0,9</w:t>
            </w:r>
          </w:p>
        </w:tc>
      </w:tr>
      <w:tr w:rsidR="00545223" w:rsidRPr="00F03806" w:rsidTr="00BE621D">
        <w:trPr>
          <w:trHeight w:val="78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755A13" w:rsidRPr="00F03806" w:rsidRDefault="00755A13" w:rsidP="00545223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затруднительно покупать одежду и оплачивать жилищно-коммунальные услуги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755A13" w:rsidRPr="00F03806" w:rsidRDefault="00755A13" w:rsidP="00755A1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22,8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755A13" w:rsidRPr="00F03806" w:rsidRDefault="00755A13" w:rsidP="00755A1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23,7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755A13" w:rsidRPr="00F03806" w:rsidRDefault="00755A13" w:rsidP="00755A1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24,1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755A13" w:rsidRPr="00F03806" w:rsidRDefault="00755A13" w:rsidP="00755A1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21,6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755A13" w:rsidRPr="00F03806" w:rsidRDefault="00755A13" w:rsidP="00755A1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20,5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755A13" w:rsidRPr="00F03806" w:rsidRDefault="00755A13" w:rsidP="00755A1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18,9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755A13" w:rsidRPr="00F03806" w:rsidRDefault="00755A13" w:rsidP="00755A1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18,8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755A13" w:rsidRPr="00F03806" w:rsidRDefault="00755A13" w:rsidP="00755A1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19,4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755A13" w:rsidRPr="00F03806" w:rsidRDefault="00755A13" w:rsidP="00755A1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20,5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755A13" w:rsidRPr="00F03806" w:rsidRDefault="00755A13" w:rsidP="00755A1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19,2</w:t>
            </w:r>
          </w:p>
        </w:tc>
      </w:tr>
      <w:tr w:rsidR="00545223" w:rsidRPr="00F03806" w:rsidTr="00BE621D">
        <w:trPr>
          <w:trHeight w:val="525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755A13" w:rsidRPr="00F03806" w:rsidRDefault="00755A13" w:rsidP="00545223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не могут позволить покупку товаров длительного пользования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755A13" w:rsidRPr="00F03806" w:rsidRDefault="00755A13" w:rsidP="00755A1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45,7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755A13" w:rsidRPr="00F03806" w:rsidRDefault="00755A13" w:rsidP="00755A1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45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755A13" w:rsidRPr="00F03806" w:rsidRDefault="00755A13" w:rsidP="00755A1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43,7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755A13" w:rsidRPr="00F03806" w:rsidRDefault="00755A13" w:rsidP="00755A1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44,5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755A13" w:rsidRPr="00F03806" w:rsidRDefault="00755A13" w:rsidP="00755A1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45,1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755A13" w:rsidRPr="00F03806" w:rsidRDefault="00755A13" w:rsidP="00755A1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45,3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755A13" w:rsidRPr="00F03806" w:rsidRDefault="00755A13" w:rsidP="00755A1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45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755A13" w:rsidRPr="00F03806" w:rsidRDefault="00755A13" w:rsidP="00755A1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45,3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755A13" w:rsidRPr="00F03806" w:rsidRDefault="00755A13" w:rsidP="00755A1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47,6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755A13" w:rsidRPr="00F03806" w:rsidRDefault="00755A13" w:rsidP="00755A1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49,5</w:t>
            </w:r>
          </w:p>
        </w:tc>
      </w:tr>
      <w:tr w:rsidR="00545223" w:rsidRPr="00F03806" w:rsidTr="00BE621D">
        <w:trPr>
          <w:trHeight w:val="525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755A13" w:rsidRPr="00F03806" w:rsidRDefault="00755A13" w:rsidP="00545223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не</w:t>
            </w:r>
            <w:r w:rsidR="00AB31F1" w:rsidRPr="00F03806">
              <w:rPr>
                <w:rFonts w:eastAsia="Times New Roman"/>
                <w:szCs w:val="24"/>
                <w:lang w:eastAsia="ru-RU"/>
              </w:rPr>
              <w:t xml:space="preserve"> хватает денег на покупку автомо</w:t>
            </w:r>
            <w:r w:rsidRPr="00F03806">
              <w:rPr>
                <w:rFonts w:eastAsia="Times New Roman"/>
                <w:szCs w:val="24"/>
                <w:lang w:eastAsia="ru-RU"/>
              </w:rPr>
              <w:t>биля, квартиры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755A13" w:rsidRPr="00F03806" w:rsidRDefault="00755A13" w:rsidP="00755A1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26,5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755A13" w:rsidRPr="00F03806" w:rsidRDefault="00755A13" w:rsidP="00755A1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26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755A13" w:rsidRPr="00F03806" w:rsidRDefault="00755A13" w:rsidP="00755A1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27,2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755A13" w:rsidRPr="00F03806" w:rsidRDefault="00755A13" w:rsidP="00755A1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29,2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755A13" w:rsidRPr="00F03806" w:rsidRDefault="00755A13" w:rsidP="00755A1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30,3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755A13" w:rsidRPr="00F03806" w:rsidRDefault="00755A13" w:rsidP="00755A1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30,7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755A13" w:rsidRPr="00F03806" w:rsidRDefault="00755A13" w:rsidP="00755A1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32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755A13" w:rsidRPr="00F03806" w:rsidRDefault="00755A13" w:rsidP="00755A1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29,7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755A13" w:rsidRPr="00F03806" w:rsidRDefault="00755A13" w:rsidP="00755A1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26,7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755A13" w:rsidRPr="00F03806" w:rsidRDefault="00755A13" w:rsidP="00755A1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26,6</w:t>
            </w:r>
          </w:p>
        </w:tc>
      </w:tr>
      <w:tr w:rsidR="00545223" w:rsidRPr="00F03806" w:rsidTr="00BE621D">
        <w:trPr>
          <w:trHeight w:val="525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755A13" w:rsidRPr="00F03806" w:rsidRDefault="00755A13" w:rsidP="00545223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средств достаточно, чтобы купить все, что считают нужным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755A13" w:rsidRPr="00F03806" w:rsidRDefault="00755A13" w:rsidP="00755A1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1,9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755A13" w:rsidRPr="00F03806" w:rsidRDefault="00755A13" w:rsidP="00755A1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2,5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755A13" w:rsidRPr="00F03806" w:rsidRDefault="00755A13" w:rsidP="00755A1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2,3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755A13" w:rsidRPr="00F03806" w:rsidRDefault="00755A13" w:rsidP="00755A1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2,4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755A13" w:rsidRPr="00F03806" w:rsidRDefault="00755A13" w:rsidP="00755A1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1,8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755A13" w:rsidRPr="00F03806" w:rsidRDefault="00755A13" w:rsidP="00755A1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3,2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755A13" w:rsidRPr="00F03806" w:rsidRDefault="00755A13" w:rsidP="00755A1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2,6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755A13" w:rsidRPr="00F03806" w:rsidRDefault="00755A13" w:rsidP="00755A1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2,4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755A13" w:rsidRPr="00F03806" w:rsidRDefault="00755A13" w:rsidP="00755A1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755A13" w:rsidRPr="00F03806" w:rsidRDefault="00755A13" w:rsidP="00755A1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2,9</w:t>
            </w:r>
          </w:p>
        </w:tc>
      </w:tr>
      <w:tr w:rsidR="00545223" w:rsidRPr="00F03806" w:rsidTr="00BE621D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755A13" w:rsidRPr="00F03806" w:rsidRDefault="00755A13" w:rsidP="00545223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затруднились ответить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755A13" w:rsidRPr="00F03806" w:rsidRDefault="00755A13" w:rsidP="00755A1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1,2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755A13" w:rsidRPr="00F03806" w:rsidRDefault="00755A13" w:rsidP="00755A1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1,2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755A13" w:rsidRPr="00F03806" w:rsidRDefault="00755A13" w:rsidP="00755A1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0,9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755A13" w:rsidRPr="00F03806" w:rsidRDefault="00755A13" w:rsidP="00755A1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0,8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755A13" w:rsidRPr="00F03806" w:rsidRDefault="00755A13" w:rsidP="00755A1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0,9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755A13" w:rsidRPr="00F03806" w:rsidRDefault="00755A13" w:rsidP="00755A1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0,7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755A13" w:rsidRPr="00F03806" w:rsidRDefault="00755A13" w:rsidP="00755A1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0,5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755A13" w:rsidRPr="00F03806" w:rsidRDefault="00755A13" w:rsidP="00755A1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755A13" w:rsidRPr="00F03806" w:rsidRDefault="00755A13" w:rsidP="00755A1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1,2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755A13" w:rsidRPr="00F03806" w:rsidRDefault="00755A13" w:rsidP="00755A1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0,9</w:t>
            </w:r>
          </w:p>
        </w:tc>
      </w:tr>
    </w:tbl>
    <w:p w:rsidR="00755A13" w:rsidRPr="00F03806" w:rsidRDefault="00755A13" w:rsidP="00755A13">
      <w:pPr>
        <w:rPr>
          <w:szCs w:val="24"/>
        </w:rPr>
      </w:pPr>
      <w:r w:rsidRPr="00F03806">
        <w:rPr>
          <w:szCs w:val="24"/>
        </w:rPr>
        <w:t>Источник: Росстат – ОБДХ.</w:t>
      </w:r>
    </w:p>
    <w:p w:rsidR="002F3D32" w:rsidRPr="00F03806" w:rsidRDefault="002F3D32" w:rsidP="00F03806">
      <w:pPr>
        <w:ind w:firstLine="709"/>
        <w:rPr>
          <w:szCs w:val="24"/>
        </w:rPr>
      </w:pPr>
    </w:p>
    <w:p w:rsidR="00F32942" w:rsidRPr="00F03806" w:rsidRDefault="00C37812" w:rsidP="009A1E92">
      <w:pPr>
        <w:ind w:firstLine="709"/>
        <w:rPr>
          <w:rFonts w:eastAsia="Times-Roman"/>
          <w:szCs w:val="24"/>
        </w:rPr>
      </w:pPr>
      <w:r w:rsidRPr="00F03806">
        <w:rPr>
          <w:rFonts w:eastAsia="Times-Roman"/>
          <w:szCs w:val="24"/>
        </w:rPr>
        <w:t>Расходы населения главным образом ориентированы на удовлетворение покупательского спроса и выполнение денежных обязательств перед государством и различного рода кредиторами</w:t>
      </w:r>
      <w:r w:rsidR="002A0B15" w:rsidRPr="00F03806">
        <w:rPr>
          <w:rFonts w:eastAsia="Times-Roman"/>
          <w:szCs w:val="24"/>
        </w:rPr>
        <w:t xml:space="preserve"> (табл. 3)</w:t>
      </w:r>
      <w:r w:rsidR="00F03806" w:rsidRPr="00F03806">
        <w:rPr>
          <w:rFonts w:eastAsia="Times-Roman"/>
          <w:szCs w:val="24"/>
        </w:rPr>
        <w:t xml:space="preserve"> </w:t>
      </w:r>
      <w:r w:rsidR="00F03806" w:rsidRPr="00F03806">
        <w:rPr>
          <w:rFonts w:eastAsia="Times-Roman"/>
          <w:szCs w:val="24"/>
          <w:lang w:val="en-US"/>
        </w:rPr>
        <w:t>[1</w:t>
      </w:r>
      <w:r w:rsidR="00F03806" w:rsidRPr="00F03806">
        <w:rPr>
          <w:rFonts w:eastAsia="Times-Roman"/>
          <w:szCs w:val="24"/>
        </w:rPr>
        <w:t>, с. 67</w:t>
      </w:r>
      <w:r w:rsidR="00F03806" w:rsidRPr="00F03806">
        <w:rPr>
          <w:rFonts w:eastAsia="Times-Roman"/>
          <w:szCs w:val="24"/>
          <w:lang w:val="en-US"/>
        </w:rPr>
        <w:t>]</w:t>
      </w:r>
      <w:r w:rsidRPr="00F03806">
        <w:rPr>
          <w:rFonts w:eastAsia="Times-Roman"/>
          <w:szCs w:val="24"/>
        </w:rPr>
        <w:t>.</w:t>
      </w:r>
      <w:r w:rsidR="0091735C" w:rsidRPr="00F03806">
        <w:rPr>
          <w:rFonts w:eastAsia="Times-Roman"/>
          <w:szCs w:val="24"/>
        </w:rPr>
        <w:t xml:space="preserve"> </w:t>
      </w:r>
      <w:r w:rsidR="002A0B15" w:rsidRPr="00F03806">
        <w:rPr>
          <w:rFonts w:eastAsia="Times-Roman"/>
          <w:szCs w:val="24"/>
        </w:rPr>
        <w:t>Значимым представляются изменения, произошедшие в за последние три года</w:t>
      </w:r>
      <w:r w:rsidR="0091735C" w:rsidRPr="00F03806">
        <w:rPr>
          <w:rFonts w:eastAsia="Times-Roman"/>
          <w:szCs w:val="24"/>
        </w:rPr>
        <w:t>: в 2017 г. доля расходов на товары и услуги выросла до докризисного уровня 2013</w:t>
      </w:r>
      <w:r w:rsidR="00EF5ECD" w:rsidRPr="00F03806">
        <w:rPr>
          <w:rFonts w:eastAsia="Times-Roman"/>
          <w:szCs w:val="24"/>
        </w:rPr>
        <w:t>–</w:t>
      </w:r>
      <w:r w:rsidR="0091735C" w:rsidRPr="00F03806">
        <w:rPr>
          <w:rFonts w:eastAsia="Times-Roman"/>
          <w:szCs w:val="24"/>
        </w:rPr>
        <w:t xml:space="preserve">2014 гг. (до 75%), </w:t>
      </w:r>
      <w:r w:rsidR="002A0B15" w:rsidRPr="00F03806">
        <w:rPr>
          <w:rFonts w:eastAsia="Times-Roman"/>
          <w:szCs w:val="24"/>
        </w:rPr>
        <w:t>а</w:t>
      </w:r>
      <w:r w:rsidR="0091735C" w:rsidRPr="00F03806">
        <w:rPr>
          <w:rFonts w:eastAsia="Times-Roman"/>
          <w:szCs w:val="24"/>
        </w:rPr>
        <w:t xml:space="preserve"> </w:t>
      </w:r>
      <w:r w:rsidR="002A0B15" w:rsidRPr="00F03806">
        <w:rPr>
          <w:rFonts w:eastAsia="Times-Roman"/>
          <w:szCs w:val="24"/>
        </w:rPr>
        <w:t xml:space="preserve">доля </w:t>
      </w:r>
      <w:r w:rsidR="0091735C" w:rsidRPr="00F03806">
        <w:rPr>
          <w:rFonts w:eastAsia="Times-Roman"/>
          <w:szCs w:val="24"/>
        </w:rPr>
        <w:t>средств, направляем</w:t>
      </w:r>
      <w:r w:rsidR="002A0B15" w:rsidRPr="00F03806">
        <w:rPr>
          <w:rFonts w:eastAsia="Times-Roman"/>
          <w:szCs w:val="24"/>
        </w:rPr>
        <w:t xml:space="preserve">ая </w:t>
      </w:r>
      <w:r w:rsidR="0091735C" w:rsidRPr="00F03806">
        <w:rPr>
          <w:rFonts w:eastAsia="Times-Roman"/>
          <w:szCs w:val="24"/>
        </w:rPr>
        <w:t>на сбережения</w:t>
      </w:r>
      <w:r w:rsidR="002A0B15" w:rsidRPr="00F03806">
        <w:rPr>
          <w:rFonts w:eastAsia="Times-Roman"/>
          <w:szCs w:val="24"/>
        </w:rPr>
        <w:t xml:space="preserve">, сократилась </w:t>
      </w:r>
      <w:r w:rsidR="0091735C" w:rsidRPr="00F03806">
        <w:rPr>
          <w:rFonts w:eastAsia="Times-Roman"/>
          <w:szCs w:val="24"/>
        </w:rPr>
        <w:t>с 14% в 2015 г. до 8% в 2017 г</w:t>
      </w:r>
      <w:r w:rsidR="002A0B15" w:rsidRPr="00F03806">
        <w:rPr>
          <w:rFonts w:eastAsia="Times-Roman"/>
          <w:szCs w:val="24"/>
        </w:rPr>
        <w:t>оду.</w:t>
      </w:r>
      <w:r w:rsidR="0091735C" w:rsidRPr="00F03806">
        <w:rPr>
          <w:rFonts w:eastAsia="Times-Roman"/>
          <w:szCs w:val="24"/>
        </w:rPr>
        <w:t xml:space="preserve"> С одной стороны, подобная коррекция доли сбережений в расходах населения может быть вполне естественным процессом после ее высокого уровня в 2015</w:t>
      </w:r>
      <w:r w:rsidR="00027BDB" w:rsidRPr="00F03806">
        <w:rPr>
          <w:rFonts w:eastAsia="Times-Roman"/>
          <w:szCs w:val="24"/>
        </w:rPr>
        <w:t>–</w:t>
      </w:r>
      <w:r w:rsidR="0091735C" w:rsidRPr="00F03806">
        <w:rPr>
          <w:rFonts w:eastAsia="Times-Roman"/>
          <w:szCs w:val="24"/>
        </w:rPr>
        <w:t xml:space="preserve">2016 гг., обусловленного действием мотива предосторожности. С другой стороны, такое перераспределение может </w:t>
      </w:r>
      <w:r w:rsidR="002A0B15" w:rsidRPr="00F03806">
        <w:rPr>
          <w:rFonts w:eastAsia="Times-Roman"/>
          <w:szCs w:val="24"/>
        </w:rPr>
        <w:t>объясняться</w:t>
      </w:r>
      <w:r w:rsidR="0091735C" w:rsidRPr="00F03806">
        <w:rPr>
          <w:rFonts w:eastAsia="Times-Roman"/>
          <w:szCs w:val="24"/>
        </w:rPr>
        <w:t xml:space="preserve"> </w:t>
      </w:r>
      <w:r w:rsidR="002A0B15" w:rsidRPr="00F03806">
        <w:rPr>
          <w:rFonts w:eastAsia="Times-Roman"/>
          <w:szCs w:val="24"/>
        </w:rPr>
        <w:t xml:space="preserve">пусть и незначительным, но </w:t>
      </w:r>
      <w:r w:rsidR="0091735C" w:rsidRPr="00F03806">
        <w:rPr>
          <w:rFonts w:eastAsia="Times-Roman"/>
          <w:szCs w:val="24"/>
        </w:rPr>
        <w:t>ростом реальных заработных плат</w:t>
      </w:r>
      <w:r w:rsidR="007909AF" w:rsidRPr="00F03806">
        <w:rPr>
          <w:rFonts w:eastAsia="Times-Roman"/>
          <w:szCs w:val="24"/>
        </w:rPr>
        <w:t>, сочетающимся</w:t>
      </w:r>
      <w:r w:rsidR="00027BDB" w:rsidRPr="00F03806">
        <w:rPr>
          <w:rFonts w:eastAsia="Times-Roman"/>
          <w:szCs w:val="24"/>
        </w:rPr>
        <w:t xml:space="preserve"> с</w:t>
      </w:r>
      <w:r w:rsidR="007909AF" w:rsidRPr="00F03806">
        <w:rPr>
          <w:rFonts w:eastAsia="Times-Roman"/>
          <w:szCs w:val="24"/>
        </w:rPr>
        <w:t xml:space="preserve"> </w:t>
      </w:r>
      <w:r w:rsidR="002A0B15" w:rsidRPr="00F03806">
        <w:rPr>
          <w:rFonts w:eastAsia="Times-Roman"/>
          <w:szCs w:val="24"/>
        </w:rPr>
        <w:t xml:space="preserve">оптимизацией потребительских стратегий и </w:t>
      </w:r>
      <w:r w:rsidR="00027BDB" w:rsidRPr="00F03806">
        <w:rPr>
          <w:rFonts w:eastAsia="Times-Roman"/>
          <w:szCs w:val="24"/>
        </w:rPr>
        <w:t xml:space="preserve">действием компенсаторного механизма (т.е. </w:t>
      </w:r>
      <w:r w:rsidR="007909AF" w:rsidRPr="00F03806">
        <w:rPr>
          <w:rFonts w:eastAsia="Times-Roman"/>
          <w:szCs w:val="24"/>
        </w:rPr>
        <w:t xml:space="preserve">с невозможностью </w:t>
      </w:r>
      <w:r w:rsidR="00027BDB" w:rsidRPr="00F03806">
        <w:rPr>
          <w:rFonts w:eastAsia="Times-Roman"/>
          <w:szCs w:val="24"/>
        </w:rPr>
        <w:t>больше откладывать необходимые покупки).</w:t>
      </w:r>
      <w:r w:rsidR="00A85979" w:rsidRPr="00F03806">
        <w:rPr>
          <w:rFonts w:eastAsia="Times-Roman"/>
          <w:szCs w:val="24"/>
        </w:rPr>
        <w:t xml:space="preserve"> Кроме того, влияние могло оказать и снижение процентных ставок по банковским депозитам</w:t>
      </w:r>
      <w:r w:rsidR="002A0B15" w:rsidRPr="00F03806">
        <w:rPr>
          <w:rFonts w:eastAsia="Times-Roman"/>
          <w:szCs w:val="24"/>
        </w:rPr>
        <w:t>, снизившее привлекать наиболее массовой формы сбережений</w:t>
      </w:r>
      <w:r w:rsidR="00A85979" w:rsidRPr="00F03806">
        <w:rPr>
          <w:rFonts w:eastAsia="Times-Roman"/>
          <w:szCs w:val="24"/>
        </w:rPr>
        <w:t xml:space="preserve">. </w:t>
      </w:r>
    </w:p>
    <w:p w:rsidR="00B331F9" w:rsidRPr="00F03806" w:rsidRDefault="00B331F9" w:rsidP="00B331F9">
      <w:pPr>
        <w:jc w:val="right"/>
        <w:rPr>
          <w:i/>
          <w:szCs w:val="24"/>
        </w:rPr>
      </w:pPr>
      <w:r w:rsidRPr="00F03806">
        <w:rPr>
          <w:i/>
          <w:szCs w:val="24"/>
        </w:rPr>
        <w:t xml:space="preserve">Таблица </w:t>
      </w:r>
      <w:r w:rsidR="002A0B15" w:rsidRPr="00F03806">
        <w:rPr>
          <w:i/>
          <w:szCs w:val="24"/>
        </w:rPr>
        <w:t>3</w:t>
      </w:r>
    </w:p>
    <w:p w:rsidR="00ED67F1" w:rsidRPr="00F03806" w:rsidRDefault="00C37812" w:rsidP="00B331F9">
      <w:pPr>
        <w:jc w:val="center"/>
        <w:rPr>
          <w:szCs w:val="24"/>
        </w:rPr>
      </w:pPr>
      <w:r w:rsidRPr="00F03806">
        <w:rPr>
          <w:szCs w:val="24"/>
        </w:rPr>
        <w:t>Структура использования денежных доходов населением РФ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2545"/>
        <w:gridCol w:w="730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</w:tblGrid>
      <w:tr w:rsidR="003D6B0C" w:rsidRPr="00F03806" w:rsidTr="00BE621D">
        <w:trPr>
          <w:trHeight w:val="300"/>
          <w:jc w:val="center"/>
        </w:trPr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12" w:rsidRPr="00F03806" w:rsidRDefault="0091735C" w:rsidP="0091735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Направление расходов</w:t>
            </w:r>
          </w:p>
        </w:tc>
        <w:tc>
          <w:tcPr>
            <w:tcW w:w="75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12" w:rsidRPr="00F03806" w:rsidRDefault="00C37812" w:rsidP="00BE1CE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Год</w:t>
            </w:r>
          </w:p>
        </w:tc>
      </w:tr>
      <w:tr w:rsidR="00C37812" w:rsidRPr="00F03806" w:rsidTr="00BE621D">
        <w:trPr>
          <w:trHeight w:val="300"/>
          <w:jc w:val="center"/>
        </w:trPr>
        <w:tc>
          <w:tcPr>
            <w:tcW w:w="2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12" w:rsidRPr="00F03806" w:rsidRDefault="00C37812" w:rsidP="00BE1CE4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12" w:rsidRPr="00F03806" w:rsidRDefault="00C37812" w:rsidP="00BE1CE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 xml:space="preserve">2008 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12" w:rsidRPr="00F03806" w:rsidRDefault="00C37812" w:rsidP="00BE1CE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2009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12" w:rsidRPr="00F03806" w:rsidRDefault="00C37812" w:rsidP="00BE1CE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2010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12" w:rsidRPr="00F03806" w:rsidRDefault="00C37812" w:rsidP="00BE1CE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2011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12" w:rsidRPr="00F03806" w:rsidRDefault="00C37812" w:rsidP="00BE1CE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2012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12" w:rsidRPr="00F03806" w:rsidRDefault="00C37812" w:rsidP="00BE1CE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2013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12" w:rsidRPr="00F03806" w:rsidRDefault="00C37812" w:rsidP="00BE1CE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2014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12" w:rsidRPr="00F03806" w:rsidRDefault="00C37812" w:rsidP="00BE1CE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 xml:space="preserve">2015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12" w:rsidRPr="00F03806" w:rsidRDefault="00C37812" w:rsidP="00BE1CE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2016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12" w:rsidRPr="00F03806" w:rsidRDefault="00C37812" w:rsidP="00BE1CE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2017</w:t>
            </w:r>
          </w:p>
        </w:tc>
      </w:tr>
      <w:tr w:rsidR="00BE1CE4" w:rsidRPr="00F03806" w:rsidTr="00BE621D">
        <w:trPr>
          <w:trHeight w:val="300"/>
          <w:jc w:val="center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CE4" w:rsidRPr="00F03806" w:rsidRDefault="00BE1CE4" w:rsidP="00EA3310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Покупка товаров и оплата услуг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E4" w:rsidRPr="00F03806" w:rsidRDefault="00BE1CE4" w:rsidP="00BE1CE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74,1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E4" w:rsidRPr="00F03806" w:rsidRDefault="00BE1CE4" w:rsidP="00BE1CE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69,8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E4" w:rsidRPr="00F03806" w:rsidRDefault="00BE1CE4" w:rsidP="00BE1CE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69,6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E4" w:rsidRPr="00F03806" w:rsidRDefault="00BE1CE4" w:rsidP="00BE1CE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73,5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E4" w:rsidRPr="00F03806" w:rsidRDefault="00BE1CE4" w:rsidP="00BE1CE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74,2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E4" w:rsidRPr="00F03806" w:rsidRDefault="00BE1CE4" w:rsidP="00BE1CE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73,6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E4" w:rsidRPr="00F03806" w:rsidRDefault="00BE1CE4" w:rsidP="00BE1CE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75,3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E4" w:rsidRPr="00F03806" w:rsidRDefault="00BE1CE4" w:rsidP="00BE1CE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71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E4" w:rsidRPr="00F03806" w:rsidRDefault="00BE1CE4" w:rsidP="00BE1CE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73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E4" w:rsidRPr="00F03806" w:rsidRDefault="00BE1CE4" w:rsidP="00BE1CE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74,9</w:t>
            </w:r>
          </w:p>
        </w:tc>
      </w:tr>
      <w:tr w:rsidR="00BE1CE4" w:rsidRPr="00F03806" w:rsidTr="00BE621D">
        <w:trPr>
          <w:trHeight w:val="525"/>
          <w:jc w:val="center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CE4" w:rsidRPr="00F03806" w:rsidRDefault="00BE1CE4" w:rsidP="00EA3310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Оплата обязательных платежей и взносов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E4" w:rsidRPr="00F03806" w:rsidRDefault="00BE1CE4" w:rsidP="00BE1CE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12,3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E4" w:rsidRPr="00F03806" w:rsidRDefault="00BE1CE4" w:rsidP="00BE1CE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10,5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E4" w:rsidRPr="00F03806" w:rsidRDefault="00BE1CE4" w:rsidP="00BE1CE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9,7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E4" w:rsidRPr="00F03806" w:rsidRDefault="00BE1CE4" w:rsidP="00BE1CE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10,3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E4" w:rsidRPr="00F03806" w:rsidRDefault="00BE1CE4" w:rsidP="00BE1CE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11,1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E4" w:rsidRPr="00F03806" w:rsidRDefault="00BE1CE4" w:rsidP="00BE1CE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11,7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E4" w:rsidRPr="00F03806" w:rsidRDefault="00BE1CE4" w:rsidP="00BE1CE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11,8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E4" w:rsidRPr="00F03806" w:rsidRDefault="00BE1CE4" w:rsidP="00BE1CE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10,9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E4" w:rsidRPr="00F03806" w:rsidRDefault="00BE1CE4" w:rsidP="00BE1CE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11,2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E4" w:rsidRPr="00F03806" w:rsidRDefault="00BE1CE4" w:rsidP="00BE1CE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11,8</w:t>
            </w:r>
          </w:p>
        </w:tc>
      </w:tr>
      <w:tr w:rsidR="00BE1CE4" w:rsidRPr="00F03806" w:rsidTr="00BE621D">
        <w:trPr>
          <w:trHeight w:val="300"/>
          <w:jc w:val="center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CE4" w:rsidRPr="00F03806" w:rsidRDefault="00BE1CE4" w:rsidP="00EA3310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Сбережения, всего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E4" w:rsidRPr="00F03806" w:rsidRDefault="00BE1CE4" w:rsidP="00BE1CE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5,4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E4" w:rsidRPr="00F03806" w:rsidRDefault="00BE1CE4" w:rsidP="00BE1CE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E4" w:rsidRPr="00F03806" w:rsidRDefault="00BE1CE4" w:rsidP="00BE1CE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14,8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E4" w:rsidRPr="00F03806" w:rsidRDefault="00BE1CE4" w:rsidP="00BE1CE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10,4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E4" w:rsidRPr="00F03806" w:rsidRDefault="00BE1CE4" w:rsidP="00BE1CE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9,9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E4" w:rsidRPr="00F03806" w:rsidRDefault="00BE1CE4" w:rsidP="00BE1CE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9,8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E4" w:rsidRPr="00F03806" w:rsidRDefault="00BE1CE4" w:rsidP="00BE1CE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6,9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E4" w:rsidRPr="00F03806" w:rsidRDefault="00BE1CE4" w:rsidP="00BE1CE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14,3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E4" w:rsidRPr="00F03806" w:rsidRDefault="00BE1CE4" w:rsidP="00BE1CE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11,1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E4" w:rsidRPr="00F03806" w:rsidRDefault="00BE1CE4" w:rsidP="00BE1CE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8,1</w:t>
            </w:r>
          </w:p>
        </w:tc>
      </w:tr>
      <w:tr w:rsidR="00BE1CE4" w:rsidRPr="00F03806" w:rsidTr="00BE621D">
        <w:trPr>
          <w:trHeight w:val="300"/>
          <w:jc w:val="center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CE4" w:rsidRPr="00F03806" w:rsidRDefault="00EA3310" w:rsidP="00EA3310">
            <w:pPr>
              <w:ind w:left="170" w:hanging="170"/>
              <w:jc w:val="left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 xml:space="preserve">– </w:t>
            </w:r>
            <w:r w:rsidR="00BE1CE4" w:rsidRPr="00F03806">
              <w:rPr>
                <w:rFonts w:eastAsia="Times New Roman"/>
                <w:szCs w:val="24"/>
                <w:lang w:eastAsia="ru-RU"/>
              </w:rPr>
              <w:t xml:space="preserve">сбережения во </w:t>
            </w:r>
            <w:r w:rsidRPr="00F03806">
              <w:rPr>
                <w:rFonts w:eastAsia="Times New Roman"/>
                <w:szCs w:val="24"/>
                <w:lang w:eastAsia="ru-RU"/>
              </w:rPr>
              <w:t xml:space="preserve">   </w:t>
            </w:r>
            <w:r w:rsidR="00BE1CE4" w:rsidRPr="00F03806">
              <w:rPr>
                <w:rFonts w:eastAsia="Times New Roman"/>
                <w:szCs w:val="24"/>
                <w:lang w:eastAsia="ru-RU"/>
              </w:rPr>
              <w:t>вкладах и ц/б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E4" w:rsidRPr="00F03806" w:rsidRDefault="00BE1CE4" w:rsidP="00BE1CE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0,1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E4" w:rsidRPr="00F03806" w:rsidRDefault="00BE1CE4" w:rsidP="00BE1CE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4,5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E4" w:rsidRPr="00F03806" w:rsidRDefault="00BE1CE4" w:rsidP="00BE1CE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7,9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E4" w:rsidRPr="00F03806" w:rsidRDefault="00BE1CE4" w:rsidP="00BE1CE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5,3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E4" w:rsidRPr="00F03806" w:rsidRDefault="00BE1CE4" w:rsidP="00BE1CE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6,2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E4" w:rsidRPr="00F03806" w:rsidRDefault="00BE1CE4" w:rsidP="00BE1CE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6,3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E4" w:rsidRPr="00F03806" w:rsidRDefault="00BE1CE4" w:rsidP="00BE1CE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0,8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E4" w:rsidRPr="00F03806" w:rsidRDefault="00BE1CE4" w:rsidP="00BE1CE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6,5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E4" w:rsidRPr="00F03806" w:rsidRDefault="00BE1CE4" w:rsidP="00BE1CE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5,3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E4" w:rsidRPr="00F03806" w:rsidRDefault="00BE1CE4" w:rsidP="00BE1CE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4,8</w:t>
            </w:r>
          </w:p>
        </w:tc>
      </w:tr>
      <w:tr w:rsidR="00BE1CE4" w:rsidRPr="00F03806" w:rsidTr="00BE621D">
        <w:trPr>
          <w:trHeight w:val="300"/>
          <w:jc w:val="center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CE4" w:rsidRPr="00F03806" w:rsidRDefault="00EA3310" w:rsidP="00EA3310">
            <w:pPr>
              <w:ind w:left="170" w:hanging="170"/>
              <w:jc w:val="left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 xml:space="preserve">– </w:t>
            </w:r>
            <w:r w:rsidR="00BE1CE4" w:rsidRPr="00F03806">
              <w:rPr>
                <w:rFonts w:eastAsia="Times New Roman"/>
                <w:szCs w:val="24"/>
                <w:lang w:eastAsia="ru-RU"/>
              </w:rPr>
              <w:t>"прочие" сбережения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E4" w:rsidRPr="00F03806" w:rsidRDefault="00BE1CE4" w:rsidP="00BE1CE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5,3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E4" w:rsidRPr="00F03806" w:rsidRDefault="00BE1CE4" w:rsidP="00BE1CE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9,5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E4" w:rsidRPr="00F03806" w:rsidRDefault="00BE1CE4" w:rsidP="00BE1CE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6,9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E4" w:rsidRPr="00F03806" w:rsidRDefault="00BE1CE4" w:rsidP="00BE1CE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5,1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E4" w:rsidRPr="00F03806" w:rsidRDefault="00BE1CE4" w:rsidP="00BE1CE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3,7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E4" w:rsidRPr="00F03806" w:rsidRDefault="00BE1CE4" w:rsidP="00BE1CE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3,5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E4" w:rsidRPr="00F03806" w:rsidRDefault="00BE1CE4" w:rsidP="00BE1CE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6,1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E4" w:rsidRPr="00F03806" w:rsidRDefault="00BE1CE4" w:rsidP="00BE1CE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7,8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E4" w:rsidRPr="00F03806" w:rsidRDefault="00BE1CE4" w:rsidP="00BE1CE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5,8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E4" w:rsidRPr="00F03806" w:rsidRDefault="00BE1CE4" w:rsidP="00BE1CE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3,3</w:t>
            </w:r>
          </w:p>
        </w:tc>
      </w:tr>
      <w:tr w:rsidR="00BE1CE4" w:rsidRPr="00F03806" w:rsidTr="00BE621D">
        <w:trPr>
          <w:trHeight w:val="300"/>
          <w:jc w:val="center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CE4" w:rsidRPr="00F03806" w:rsidRDefault="00BE1CE4" w:rsidP="00EA3310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Покупка валюты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E4" w:rsidRPr="00F03806" w:rsidRDefault="00BE1CE4" w:rsidP="00BE1CE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7,9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E4" w:rsidRPr="00F03806" w:rsidRDefault="00BE1CE4" w:rsidP="00BE1CE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5,4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E4" w:rsidRPr="00F03806" w:rsidRDefault="00BE1CE4" w:rsidP="00BE1CE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3,6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E4" w:rsidRPr="00F03806" w:rsidRDefault="00BE1CE4" w:rsidP="00BE1CE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4,2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E4" w:rsidRPr="00F03806" w:rsidRDefault="00BE1CE4" w:rsidP="00BE1CE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4,8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E4" w:rsidRPr="00F03806" w:rsidRDefault="00BE1CE4" w:rsidP="00BE1CE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4,2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E4" w:rsidRPr="00F03806" w:rsidRDefault="00BE1CE4" w:rsidP="00BE1CE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5,8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E4" w:rsidRPr="00F03806" w:rsidRDefault="00BE1CE4" w:rsidP="00BE1CE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4,2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E4" w:rsidRPr="00F03806" w:rsidRDefault="00BE1CE4" w:rsidP="00BE1CE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E4" w:rsidRPr="00F03806" w:rsidRDefault="00BE1CE4" w:rsidP="00BE1CE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3,7</w:t>
            </w:r>
          </w:p>
        </w:tc>
      </w:tr>
      <w:tr w:rsidR="00BE1CE4" w:rsidRPr="00F03806" w:rsidTr="00BE621D">
        <w:trPr>
          <w:trHeight w:val="525"/>
          <w:jc w:val="center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CE4" w:rsidRPr="00F03806" w:rsidRDefault="00BE1CE4" w:rsidP="00EA3310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Изменение денег на руках у населения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E4" w:rsidRPr="00F03806" w:rsidRDefault="00BE1CE4" w:rsidP="00BE1CE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0,3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E4" w:rsidRPr="00F03806" w:rsidRDefault="00BE1CE4" w:rsidP="00BE1CE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0,4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E4" w:rsidRPr="00F03806" w:rsidRDefault="00BE1CE4" w:rsidP="00BE1CE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2,3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E4" w:rsidRPr="00F03806" w:rsidRDefault="00BE1CE4" w:rsidP="00BE1CE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1,6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E4" w:rsidRPr="00F03806" w:rsidRDefault="00BE1CE4" w:rsidP="00BE1CE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E4" w:rsidRPr="00F03806" w:rsidRDefault="00BE1CE4" w:rsidP="00BE1CE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0,7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E4" w:rsidRPr="00F03806" w:rsidRDefault="00BE1CE4" w:rsidP="00BE1CE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0,2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E4" w:rsidRPr="00F03806" w:rsidRDefault="00BE1CE4" w:rsidP="00BE1CE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-0,4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E4" w:rsidRPr="00F03806" w:rsidRDefault="00BE1CE4" w:rsidP="00BE1CE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0,7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E4" w:rsidRPr="00F03806" w:rsidRDefault="00BE1CE4" w:rsidP="00BE1CE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>1,5</w:t>
            </w:r>
          </w:p>
        </w:tc>
      </w:tr>
      <w:tr w:rsidR="00BE1CE4" w:rsidRPr="00F03806" w:rsidTr="00BE621D">
        <w:trPr>
          <w:trHeight w:val="525"/>
          <w:jc w:val="center"/>
        </w:trPr>
        <w:tc>
          <w:tcPr>
            <w:tcW w:w="101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CE4" w:rsidRPr="00F03806" w:rsidRDefault="005536AD" w:rsidP="00755A13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F03806">
              <w:rPr>
                <w:rFonts w:eastAsia="Times New Roman"/>
                <w:szCs w:val="24"/>
                <w:lang w:eastAsia="ru-RU"/>
              </w:rPr>
              <w:t xml:space="preserve">Примечание: </w:t>
            </w:r>
            <w:r w:rsidR="00BE1CE4" w:rsidRPr="00F03806">
              <w:rPr>
                <w:rFonts w:eastAsia="Times New Roman"/>
                <w:szCs w:val="24"/>
                <w:lang w:eastAsia="ru-RU"/>
              </w:rPr>
              <w:t>"прочие" сбережения включают изменение средств на счетах ИП, изменение задолженности по кредитам, расходы на приобретение недвижимости и покупку населением скота и птицы</w:t>
            </w:r>
            <w:r w:rsidRPr="00F03806"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</w:tbl>
    <w:p w:rsidR="0091735C" w:rsidRPr="00F03806" w:rsidRDefault="0091735C" w:rsidP="0091735C">
      <w:pPr>
        <w:rPr>
          <w:szCs w:val="24"/>
        </w:rPr>
      </w:pPr>
      <w:r w:rsidRPr="00F03806">
        <w:rPr>
          <w:szCs w:val="24"/>
        </w:rPr>
        <w:t>Источник: Росстат.</w:t>
      </w:r>
    </w:p>
    <w:p w:rsidR="00F64E47" w:rsidRPr="00F03806" w:rsidRDefault="00F64E47" w:rsidP="009A1E92">
      <w:pPr>
        <w:ind w:firstLine="709"/>
        <w:rPr>
          <w:szCs w:val="24"/>
        </w:rPr>
      </w:pPr>
    </w:p>
    <w:p w:rsidR="002A0B15" w:rsidRPr="00F03806" w:rsidRDefault="002A0B15" w:rsidP="002A0B15">
      <w:pPr>
        <w:ind w:firstLine="709"/>
        <w:rPr>
          <w:szCs w:val="24"/>
        </w:rPr>
      </w:pPr>
      <w:r w:rsidRPr="00F03806">
        <w:rPr>
          <w:szCs w:val="24"/>
        </w:rPr>
        <w:t>В то же время Индекс потребительских настроений, характеризующий ориентации массового потребителя, показывает преобладание среди россиян нейтрального отношения как в целом к приобретению разнообразных продуктов, так и к покупкам в кредит или осуществлению сбережений (рис. 2). Снижение ИПН в 2015–2016 гг. и его рост в 2017 г. вполне закономерны (с учетом снижения инфляции, роста зарплат, определенной макроэкономической стабилизации и т.д.), однако значение индексов не превышает 100 пунктов, что говорит о преобладании отрицательных оценок условий для осуществления расходов и формирования сбережений.</w:t>
      </w:r>
    </w:p>
    <w:p w:rsidR="002A0B15" w:rsidRPr="00F03806" w:rsidRDefault="00F03806" w:rsidP="002A0B15">
      <w:pPr>
        <w:jc w:val="center"/>
        <w:rPr>
          <w:szCs w:val="24"/>
        </w:rPr>
      </w:pPr>
      <w:r w:rsidRPr="00F03806">
        <w:rPr>
          <w:szCs w:val="24"/>
        </w:rPr>
        <w:object w:dxaOrig="9045" w:dyaOrig="4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52.4pt;height:203.75pt" o:ole="">
            <v:imagedata r:id="rId10" o:title=""/>
          </v:shape>
          <o:OLEObject Type="Embed" ProgID="Excel.Sheet.12" ShapeID="_x0000_i1034" DrawAspect="Content" ObjectID="_1615283973" r:id="rId11"/>
        </w:object>
      </w:r>
      <w:r w:rsidR="002A0B15" w:rsidRPr="00F03806">
        <w:rPr>
          <w:b/>
          <w:szCs w:val="24"/>
        </w:rPr>
        <w:t xml:space="preserve"> </w:t>
      </w:r>
      <w:r w:rsidR="002A0B15" w:rsidRPr="00F03806">
        <w:rPr>
          <w:szCs w:val="24"/>
        </w:rPr>
        <w:t>Рисунок 2. Индекс потребительских настроений и частные индексы</w:t>
      </w:r>
    </w:p>
    <w:p w:rsidR="002A0B15" w:rsidRPr="00F03806" w:rsidRDefault="002A0B15" w:rsidP="002A0B15">
      <w:pPr>
        <w:rPr>
          <w:szCs w:val="24"/>
        </w:rPr>
      </w:pPr>
      <w:r w:rsidRPr="00F03806">
        <w:rPr>
          <w:szCs w:val="24"/>
        </w:rPr>
        <w:t>Источник: ЦБ РФ.</w:t>
      </w:r>
    </w:p>
    <w:p w:rsidR="004B2CBF" w:rsidRPr="00F03806" w:rsidRDefault="004B2CBF" w:rsidP="00572869">
      <w:pPr>
        <w:ind w:firstLine="709"/>
        <w:rPr>
          <w:szCs w:val="24"/>
        </w:rPr>
      </w:pPr>
    </w:p>
    <w:p w:rsidR="000E74B4" w:rsidRPr="00F03806" w:rsidRDefault="00B40296" w:rsidP="00572869">
      <w:pPr>
        <w:shd w:val="clear" w:color="auto" w:fill="FFFFFF"/>
        <w:ind w:firstLine="709"/>
        <w:textAlignment w:val="baseline"/>
        <w:rPr>
          <w:szCs w:val="24"/>
          <w:shd w:val="clear" w:color="auto" w:fill="FFFFFF"/>
        </w:rPr>
      </w:pPr>
      <w:r w:rsidRPr="00F03806">
        <w:rPr>
          <w:szCs w:val="24"/>
          <w:shd w:val="clear" w:color="auto" w:fill="FFFFFF"/>
        </w:rPr>
        <w:t>Основным лейтмотивом материального положения россиян последних пяти лет стало неуклонное снижение реальных доходов. Условия для его развития сложились в 2008</w:t>
      </w:r>
      <w:r w:rsidR="00016B6E" w:rsidRPr="00F03806">
        <w:rPr>
          <w:szCs w:val="24"/>
          <w:shd w:val="clear" w:color="auto" w:fill="FFFFFF"/>
        </w:rPr>
        <w:t>–</w:t>
      </w:r>
      <w:r w:rsidRPr="00F03806">
        <w:rPr>
          <w:szCs w:val="24"/>
          <w:shd w:val="clear" w:color="auto" w:fill="FFFFFF"/>
        </w:rPr>
        <w:t>2009</w:t>
      </w:r>
      <w:r w:rsidR="00016B6E" w:rsidRPr="00F03806">
        <w:rPr>
          <w:szCs w:val="24"/>
          <w:shd w:val="clear" w:color="auto" w:fill="FFFFFF"/>
        </w:rPr>
        <w:t> </w:t>
      </w:r>
      <w:r w:rsidRPr="00F03806">
        <w:rPr>
          <w:szCs w:val="24"/>
          <w:shd w:val="clear" w:color="auto" w:fill="FFFFFF"/>
        </w:rPr>
        <w:t xml:space="preserve">гг., но свое оформление он получил после 2014 года. В итоге большинство россиян столкнулось </w:t>
      </w:r>
      <w:r w:rsidR="00016B6E" w:rsidRPr="00F03806">
        <w:rPr>
          <w:szCs w:val="24"/>
          <w:shd w:val="clear" w:color="auto" w:fill="FFFFFF"/>
        </w:rPr>
        <w:t>с</w:t>
      </w:r>
      <w:r w:rsidRPr="00F03806">
        <w:rPr>
          <w:szCs w:val="24"/>
          <w:shd w:val="clear" w:color="auto" w:fill="FFFFFF"/>
        </w:rPr>
        <w:t xml:space="preserve"> невозможностью поддерживать привычный уровень потребления и было вынуждено пересмотреть свои потребительские и финансовые стратегии.</w:t>
      </w:r>
    </w:p>
    <w:p w:rsidR="0011290D" w:rsidRPr="00F03806" w:rsidRDefault="002E5881" w:rsidP="00572869">
      <w:pPr>
        <w:shd w:val="clear" w:color="auto" w:fill="FFFFFF"/>
        <w:ind w:firstLine="709"/>
        <w:textAlignment w:val="baseline"/>
        <w:rPr>
          <w:szCs w:val="24"/>
          <w:shd w:val="clear" w:color="auto" w:fill="FFFFFF"/>
        </w:rPr>
      </w:pPr>
      <w:r w:rsidRPr="00F03806">
        <w:rPr>
          <w:rFonts w:eastAsia="Times New Roman"/>
          <w:szCs w:val="24"/>
          <w:lang w:eastAsia="ru-RU"/>
        </w:rPr>
        <w:t>В подобной ситуации для исследователей и экспертов значимым является обдуманное сопоставление фактов</w:t>
      </w:r>
      <w:r w:rsidR="004A3944" w:rsidRPr="00F03806">
        <w:rPr>
          <w:rFonts w:eastAsia="Times New Roman"/>
          <w:szCs w:val="24"/>
          <w:lang w:eastAsia="ru-RU"/>
        </w:rPr>
        <w:t>.</w:t>
      </w:r>
      <w:r w:rsidRPr="00F03806">
        <w:rPr>
          <w:rFonts w:eastAsia="Times New Roman"/>
          <w:szCs w:val="24"/>
          <w:lang w:eastAsia="ru-RU"/>
        </w:rPr>
        <w:t xml:space="preserve"> </w:t>
      </w:r>
      <w:r w:rsidR="004A3944" w:rsidRPr="00F03806">
        <w:rPr>
          <w:rFonts w:eastAsia="Times New Roman"/>
          <w:szCs w:val="24"/>
          <w:lang w:eastAsia="ru-RU"/>
        </w:rPr>
        <w:t>П</w:t>
      </w:r>
      <w:r w:rsidRPr="00F03806">
        <w:rPr>
          <w:rFonts w:eastAsia="Times New Roman"/>
          <w:szCs w:val="24"/>
          <w:lang w:eastAsia="ru-RU"/>
        </w:rPr>
        <w:t xml:space="preserve">о данным многих социологических опросов население весьма позитивно оценивает свое текущее материальное положение и всё меньше сообщает о затруднениях в потреблении или вынужденной экономии. </w:t>
      </w:r>
      <w:r w:rsidR="000E74B4" w:rsidRPr="00F03806">
        <w:rPr>
          <w:rFonts w:eastAsia="Times New Roman"/>
          <w:szCs w:val="24"/>
          <w:lang w:eastAsia="ru-RU"/>
        </w:rPr>
        <w:t>В частности</w:t>
      </w:r>
      <w:r w:rsidRPr="00F03806">
        <w:rPr>
          <w:rFonts w:eastAsia="Times New Roman"/>
          <w:szCs w:val="24"/>
          <w:lang w:eastAsia="ru-RU"/>
        </w:rPr>
        <w:t xml:space="preserve">, согласно </w:t>
      </w:r>
      <w:r w:rsidRPr="00F03806">
        <w:rPr>
          <w:rFonts w:eastAsia="Times New Roman"/>
          <w:szCs w:val="24"/>
          <w:lang w:eastAsia="ru-RU"/>
        </w:rPr>
        <w:lastRenderedPageBreak/>
        <w:t>результатам в</w:t>
      </w:r>
      <w:r w:rsidR="00B40296" w:rsidRPr="00F03806">
        <w:rPr>
          <w:rFonts w:eastAsia="Times New Roman"/>
          <w:szCs w:val="24"/>
          <w:lang w:eastAsia="ru-RU"/>
        </w:rPr>
        <w:t>сероссийских опросов, проводимых Национальным агентством финансовых исследований (НАФИ)</w:t>
      </w:r>
      <w:r w:rsidR="00F03806" w:rsidRPr="00F03806">
        <w:rPr>
          <w:rFonts w:eastAsia="Times New Roman"/>
          <w:szCs w:val="24"/>
          <w:lang w:eastAsia="ru-RU"/>
        </w:rPr>
        <w:t xml:space="preserve"> [8]</w:t>
      </w:r>
      <w:r w:rsidR="00B40296" w:rsidRPr="00F03806">
        <w:rPr>
          <w:rFonts w:eastAsia="Times New Roman"/>
          <w:szCs w:val="24"/>
          <w:lang w:eastAsia="ru-RU"/>
        </w:rPr>
        <w:t xml:space="preserve">, с 2015 по 2018 г. заметно </w:t>
      </w:r>
      <w:r w:rsidR="00E00C18" w:rsidRPr="00F03806">
        <w:rPr>
          <w:rFonts w:eastAsia="Times New Roman"/>
          <w:szCs w:val="24"/>
          <w:lang w:eastAsia="ru-RU"/>
        </w:rPr>
        <w:t>выросла</w:t>
      </w:r>
      <w:r w:rsidR="00B40296" w:rsidRPr="00F03806">
        <w:rPr>
          <w:rFonts w:eastAsia="Times New Roman"/>
          <w:szCs w:val="24"/>
          <w:lang w:eastAsia="ru-RU"/>
        </w:rPr>
        <w:t xml:space="preserve"> доля населения, не испытывающих нехватку денег и не отказывающих себе в текущем потреблении</w:t>
      </w:r>
      <w:r w:rsidR="00E00C18" w:rsidRPr="00F03806">
        <w:rPr>
          <w:rFonts w:eastAsia="Times New Roman"/>
          <w:szCs w:val="24"/>
          <w:lang w:eastAsia="ru-RU"/>
        </w:rPr>
        <w:t xml:space="preserve"> (с 3 до 31%). Стабильный режим экономии действует </w:t>
      </w:r>
      <w:r w:rsidR="000E74B4" w:rsidRPr="00F03806">
        <w:rPr>
          <w:rFonts w:eastAsia="Times New Roman"/>
          <w:szCs w:val="24"/>
          <w:lang w:eastAsia="ru-RU"/>
        </w:rPr>
        <w:t xml:space="preserve">только </w:t>
      </w:r>
      <w:r w:rsidR="00E00C18" w:rsidRPr="00F03806">
        <w:rPr>
          <w:rFonts w:eastAsia="Times New Roman"/>
          <w:szCs w:val="24"/>
          <w:lang w:eastAsia="ru-RU"/>
        </w:rPr>
        <w:t>в отношении отдыха и лечения. Так, от возможностей поехать отдохнуть и провести отпуск пришлось отказаться в 2015 г. 48% россиян, в 2017 г. – 52%, в 2018 г. – 43%; от трат на лечение и восстановление здоровья пришлось отказаться в 2015 г. 22%, в 2017 г. – 24%, в 2018 г. – 22% россиян. Одновременно существенно сократились многие «бытовые» варианты экономии: отказ от посещений кино, театров, других развлекательных учреждений (с 38 до 24% за 2015-2018 гг.), от покупки необходимой одежды и обуви (с 39 до 20%), от</w:t>
      </w:r>
      <w:r w:rsidR="00E00C18" w:rsidRPr="00F03806">
        <w:rPr>
          <w:szCs w:val="24"/>
        </w:rPr>
        <w:t xml:space="preserve"> п</w:t>
      </w:r>
      <w:r w:rsidR="00E00C18" w:rsidRPr="00F03806">
        <w:rPr>
          <w:rFonts w:eastAsia="Times New Roman"/>
          <w:szCs w:val="24"/>
          <w:lang w:eastAsia="ru-RU"/>
        </w:rPr>
        <w:t>окупки действительно нужных предметов домашнего обихода (с 30 до 20%)</w:t>
      </w:r>
      <w:r w:rsidRPr="00F03806">
        <w:rPr>
          <w:rFonts w:eastAsia="Times New Roman"/>
          <w:szCs w:val="24"/>
          <w:lang w:eastAsia="ru-RU"/>
        </w:rPr>
        <w:t xml:space="preserve"> и необходимых продуктов питания (с 20 до 12%).</w:t>
      </w:r>
    </w:p>
    <w:p w:rsidR="004A3944" w:rsidRPr="00F03806" w:rsidRDefault="004A3944" w:rsidP="00572869">
      <w:pPr>
        <w:ind w:firstLine="709"/>
        <w:rPr>
          <w:szCs w:val="24"/>
        </w:rPr>
      </w:pPr>
      <w:r w:rsidRPr="00F03806">
        <w:rPr>
          <w:szCs w:val="24"/>
        </w:rPr>
        <w:t>В то</w:t>
      </w:r>
      <w:r w:rsidR="00016B6E" w:rsidRPr="00F03806">
        <w:rPr>
          <w:szCs w:val="24"/>
        </w:rPr>
        <w:t xml:space="preserve"> </w:t>
      </w:r>
      <w:r w:rsidRPr="00F03806">
        <w:rPr>
          <w:szCs w:val="24"/>
        </w:rPr>
        <w:t xml:space="preserve">же время данные официальной и ведомственной статистики показывают, каким образом население финансирует свое потребление. </w:t>
      </w:r>
      <w:r w:rsidR="00172A53" w:rsidRPr="00F03806">
        <w:rPr>
          <w:szCs w:val="24"/>
        </w:rPr>
        <w:t>Вплоть до 2016 г. совокупные долги россиян перед банками росли замедленными темпами (в 2015 г. даже отмечено снижение объема задолженности на 633 млн. руб. или на 5,7% по сравнению с 2014 г.). Однако с 2016</w:t>
      </w:r>
      <w:r w:rsidR="00DF24FB" w:rsidRPr="00F03806">
        <w:rPr>
          <w:szCs w:val="24"/>
        </w:rPr>
        <w:t> </w:t>
      </w:r>
      <w:r w:rsidR="00172A53" w:rsidRPr="00F03806">
        <w:rPr>
          <w:szCs w:val="24"/>
        </w:rPr>
        <w:t>г. наблюдается оживление сегмента кредитования физических лиц. В 2016 г. российские банки предоставили более 31 млн. кредитов на сумму 4,14 трлн. руб., в 2017 г. было выдано порядка 34,8 млн. кредитов в размере 5,91 трлн. руб., а 2018 г. оформлено уже около 37,4 млн. кредитов общим объемом свыше 8,61 трлн. рублей</w:t>
      </w:r>
      <w:r w:rsidR="00F03806" w:rsidRPr="00F03806">
        <w:rPr>
          <w:szCs w:val="24"/>
        </w:rPr>
        <w:t xml:space="preserve"> [3, 4]</w:t>
      </w:r>
      <w:r w:rsidR="00172A53" w:rsidRPr="00F03806">
        <w:rPr>
          <w:szCs w:val="24"/>
        </w:rPr>
        <w:t>.</w:t>
      </w:r>
      <w:r w:rsidR="00DF24FB" w:rsidRPr="00F03806">
        <w:rPr>
          <w:szCs w:val="24"/>
        </w:rPr>
        <w:t xml:space="preserve"> Соответственно, если в 2015 г. задолженность по кредитам физических лиц составляла 10,4 трлн. руб., то за 2016 г. она выросла на 2,5% (до 10,7 трлн. руб.), за 2017 г. – на 13,4% (до 12,1 трлн. руб.), за 2018 г. – на 22,6% (до 14,8 трлн. руб.)</w:t>
      </w:r>
      <w:r w:rsidR="00DF24FB" w:rsidRPr="00F03806">
        <w:rPr>
          <w:rStyle w:val="a6"/>
          <w:szCs w:val="24"/>
        </w:rPr>
        <w:footnoteReference w:id="7"/>
      </w:r>
      <w:r w:rsidR="00DF24FB" w:rsidRPr="00F03806">
        <w:rPr>
          <w:szCs w:val="24"/>
        </w:rPr>
        <w:t xml:space="preserve">. </w:t>
      </w:r>
    </w:p>
    <w:p w:rsidR="00DF24FB" w:rsidRPr="00F03806" w:rsidRDefault="00DF24FB" w:rsidP="00572869">
      <w:pPr>
        <w:ind w:firstLine="709"/>
        <w:rPr>
          <w:szCs w:val="24"/>
        </w:rPr>
      </w:pPr>
      <w:r w:rsidRPr="00F03806">
        <w:rPr>
          <w:szCs w:val="24"/>
        </w:rPr>
        <w:t xml:space="preserve">При этом продолжают расти и сбереженные населением средства:  </w:t>
      </w:r>
      <w:r w:rsidR="00572869" w:rsidRPr="00F03806">
        <w:rPr>
          <w:szCs w:val="24"/>
        </w:rPr>
        <w:t xml:space="preserve">за 2016 г. общий объем сбережений россиян составил около 26 трлн. руб., в 2017 г. – уже порядка 29,5 трлн. руб., а </w:t>
      </w:r>
      <w:r w:rsidRPr="00F03806">
        <w:rPr>
          <w:szCs w:val="24"/>
        </w:rPr>
        <w:t xml:space="preserve">за 2018 г. россияне накопили 3 трлн. руб. (на 9,4% больше, чем в 2017 г.), общий объём сбережений достиг 33,6 трлн. руб. (из них 22,3 трлн. руб. </w:t>
      </w:r>
      <w:r w:rsidR="00572869" w:rsidRPr="00F03806">
        <w:rPr>
          <w:szCs w:val="24"/>
        </w:rPr>
        <w:t>–</w:t>
      </w:r>
      <w:r w:rsidRPr="00F03806">
        <w:rPr>
          <w:szCs w:val="24"/>
        </w:rPr>
        <w:t xml:space="preserve"> депозиты в банках, остальное </w:t>
      </w:r>
      <w:r w:rsidR="00572869" w:rsidRPr="00F03806">
        <w:rPr>
          <w:szCs w:val="24"/>
        </w:rPr>
        <w:t>–</w:t>
      </w:r>
      <w:r w:rsidRPr="00F03806">
        <w:rPr>
          <w:szCs w:val="24"/>
        </w:rPr>
        <w:t xml:space="preserve"> наличн</w:t>
      </w:r>
      <w:r w:rsidR="00572869" w:rsidRPr="00F03806">
        <w:rPr>
          <w:szCs w:val="24"/>
        </w:rPr>
        <w:t>ость</w:t>
      </w:r>
      <w:r w:rsidRPr="00F03806">
        <w:rPr>
          <w:szCs w:val="24"/>
        </w:rPr>
        <w:t xml:space="preserve"> и ценны</w:t>
      </w:r>
      <w:r w:rsidR="00572869" w:rsidRPr="00F03806">
        <w:rPr>
          <w:szCs w:val="24"/>
        </w:rPr>
        <w:t>е</w:t>
      </w:r>
      <w:r w:rsidRPr="00F03806">
        <w:rPr>
          <w:szCs w:val="24"/>
        </w:rPr>
        <w:t xml:space="preserve"> бумаг</w:t>
      </w:r>
      <w:r w:rsidR="00572869" w:rsidRPr="00F03806">
        <w:rPr>
          <w:szCs w:val="24"/>
        </w:rPr>
        <w:t>и)</w:t>
      </w:r>
      <w:r w:rsidR="00F03806" w:rsidRPr="00F03806">
        <w:rPr>
          <w:szCs w:val="24"/>
        </w:rPr>
        <w:t xml:space="preserve"> [5, 6]</w:t>
      </w:r>
      <w:r w:rsidRPr="00F03806">
        <w:rPr>
          <w:szCs w:val="24"/>
        </w:rPr>
        <w:t>.</w:t>
      </w:r>
      <w:r w:rsidR="00016B6E" w:rsidRPr="00F03806">
        <w:rPr>
          <w:szCs w:val="24"/>
        </w:rPr>
        <w:t xml:space="preserve"> Как отмечают эксперты, эти полярны</w:t>
      </w:r>
      <w:r w:rsidR="00906C48" w:rsidRPr="00F03806">
        <w:rPr>
          <w:szCs w:val="24"/>
        </w:rPr>
        <w:t>е</w:t>
      </w:r>
      <w:r w:rsidR="00016B6E" w:rsidRPr="00F03806">
        <w:rPr>
          <w:szCs w:val="24"/>
        </w:rPr>
        <w:t xml:space="preserve"> тренд</w:t>
      </w:r>
      <w:r w:rsidR="00906C48" w:rsidRPr="00F03806">
        <w:rPr>
          <w:szCs w:val="24"/>
        </w:rPr>
        <w:t>ы</w:t>
      </w:r>
      <w:r w:rsidR="00016B6E" w:rsidRPr="00F03806">
        <w:rPr>
          <w:szCs w:val="24"/>
        </w:rPr>
        <w:t xml:space="preserve"> (рост вкладов и объемов выданных займов)</w:t>
      </w:r>
      <w:r w:rsidR="00906C48" w:rsidRPr="00F03806">
        <w:rPr>
          <w:szCs w:val="24"/>
        </w:rPr>
        <w:t xml:space="preserve"> складываются в результате поведения различающихся по достатку групп населения: </w:t>
      </w:r>
      <w:r w:rsidR="00CD2D45" w:rsidRPr="00F03806">
        <w:rPr>
          <w:szCs w:val="24"/>
        </w:rPr>
        <w:t>«обеспеченные пытаются сберегать, а бедные слои и самые незащищённые граждане вынуждены «затыкать финансовые дыры» и привлекать заемные средства</w:t>
      </w:r>
      <w:r w:rsidR="00F03806" w:rsidRPr="00F03806">
        <w:rPr>
          <w:szCs w:val="24"/>
        </w:rPr>
        <w:t xml:space="preserve"> [6]</w:t>
      </w:r>
      <w:r w:rsidR="00CD2D45" w:rsidRPr="00F03806">
        <w:rPr>
          <w:szCs w:val="24"/>
        </w:rPr>
        <w:t xml:space="preserve">. </w:t>
      </w:r>
    </w:p>
    <w:p w:rsidR="00CD2D45" w:rsidRPr="00F03806" w:rsidRDefault="00CD2D45" w:rsidP="00CD2D45">
      <w:pPr>
        <w:ind w:firstLine="709"/>
        <w:rPr>
          <w:szCs w:val="24"/>
        </w:rPr>
      </w:pPr>
      <w:r w:rsidRPr="00F03806">
        <w:rPr>
          <w:szCs w:val="24"/>
        </w:rPr>
        <w:t>Поэтому фиксируемое опросами улучшение оценок материального положения и возможностей по удовлетворению потребностей стоит трактовать как адаптацию россиян к новой стратегии потребления – «рациональной, бережливой, экономной». Другими словами, возникшие вследствие ухудшения социально-эконом</w:t>
      </w:r>
      <w:r w:rsidR="003D6B0C" w:rsidRPr="00F03806">
        <w:rPr>
          <w:szCs w:val="24"/>
        </w:rPr>
        <w:t xml:space="preserve">ической конъюнктуры вынужденные и, как предполагалось, временные </w:t>
      </w:r>
      <w:r w:rsidRPr="00F03806">
        <w:rPr>
          <w:szCs w:val="24"/>
        </w:rPr>
        <w:t>практики экономного потребления в настоящее время из-за длительности их применения воспринимаются россиянами как обыденные</w:t>
      </w:r>
      <w:r w:rsidR="003D6B0C" w:rsidRPr="00F03806">
        <w:rPr>
          <w:szCs w:val="24"/>
        </w:rPr>
        <w:t>, ориентированные на длительную перспективу.</w:t>
      </w:r>
    </w:p>
    <w:p w:rsidR="00CD2D45" w:rsidRPr="00F03806" w:rsidRDefault="0010719F" w:rsidP="003D6B0C">
      <w:pPr>
        <w:ind w:firstLine="709"/>
        <w:rPr>
          <w:szCs w:val="24"/>
        </w:rPr>
      </w:pPr>
      <w:r w:rsidRPr="00F03806">
        <w:rPr>
          <w:szCs w:val="24"/>
        </w:rPr>
        <w:t>Фактором усугубления текущего уровня жизни россиян п</w:t>
      </w:r>
      <w:r w:rsidR="00CD2D45" w:rsidRPr="00F03806">
        <w:rPr>
          <w:szCs w:val="24"/>
        </w:rPr>
        <w:t>редставляется</w:t>
      </w:r>
      <w:r w:rsidRPr="00F03806">
        <w:rPr>
          <w:szCs w:val="24"/>
        </w:rPr>
        <w:t xml:space="preserve"> увеличение налоговой и неналоговой нагрузки на население, выраженное в форме повышения НДС, налогов на имущество, акцизов на топливо, в изменении пенсионной системы и увеличении пенсионного возраста и проч..</w:t>
      </w:r>
      <w:r w:rsidR="00E449FC" w:rsidRPr="00F03806">
        <w:rPr>
          <w:szCs w:val="24"/>
        </w:rPr>
        <w:t xml:space="preserve"> В</w:t>
      </w:r>
      <w:r w:rsidR="00CD2D45" w:rsidRPr="00F03806">
        <w:rPr>
          <w:szCs w:val="24"/>
        </w:rPr>
        <w:t xml:space="preserve"> случае отсутствия </w:t>
      </w:r>
      <w:r w:rsidRPr="00F03806">
        <w:rPr>
          <w:szCs w:val="24"/>
        </w:rPr>
        <w:t>адекватных мер по</w:t>
      </w:r>
      <w:r w:rsidR="00CD2D45" w:rsidRPr="00F03806">
        <w:rPr>
          <w:szCs w:val="24"/>
        </w:rPr>
        <w:t xml:space="preserve"> доплат</w:t>
      </w:r>
      <w:r w:rsidRPr="00F03806">
        <w:rPr>
          <w:szCs w:val="24"/>
        </w:rPr>
        <w:t>ам</w:t>
      </w:r>
      <w:r w:rsidR="00CD2D45" w:rsidRPr="00F03806">
        <w:rPr>
          <w:szCs w:val="24"/>
        </w:rPr>
        <w:t xml:space="preserve"> и индексаци</w:t>
      </w:r>
      <w:r w:rsidRPr="00F03806">
        <w:rPr>
          <w:szCs w:val="24"/>
        </w:rPr>
        <w:t>ям</w:t>
      </w:r>
      <w:r w:rsidR="00CD2D45" w:rsidRPr="00F03806">
        <w:rPr>
          <w:szCs w:val="24"/>
        </w:rPr>
        <w:t>,</w:t>
      </w:r>
      <w:r w:rsidR="00E449FC" w:rsidRPr="00F03806">
        <w:rPr>
          <w:szCs w:val="24"/>
        </w:rPr>
        <w:t xml:space="preserve"> а также позитивных изменений в производственной сфере подобные инициативы органов власти могут воспрепятствовать выводу</w:t>
      </w:r>
      <w:r w:rsidR="00CD2D45" w:rsidRPr="00F03806">
        <w:rPr>
          <w:szCs w:val="24"/>
        </w:rPr>
        <w:t xml:space="preserve"> реальны</w:t>
      </w:r>
      <w:r w:rsidR="00E449FC" w:rsidRPr="00F03806">
        <w:rPr>
          <w:szCs w:val="24"/>
        </w:rPr>
        <w:t>х</w:t>
      </w:r>
      <w:r w:rsidR="00CD2D45" w:rsidRPr="00F03806">
        <w:rPr>
          <w:szCs w:val="24"/>
        </w:rPr>
        <w:t xml:space="preserve"> доход</w:t>
      </w:r>
      <w:r w:rsidR="00E449FC" w:rsidRPr="00F03806">
        <w:rPr>
          <w:szCs w:val="24"/>
        </w:rPr>
        <w:t>ов</w:t>
      </w:r>
      <w:r w:rsidR="00CD2D45" w:rsidRPr="00F03806">
        <w:rPr>
          <w:szCs w:val="24"/>
        </w:rPr>
        <w:t xml:space="preserve"> населения </w:t>
      </w:r>
      <w:r w:rsidR="00E449FC" w:rsidRPr="00F03806">
        <w:rPr>
          <w:szCs w:val="24"/>
        </w:rPr>
        <w:t>на траекторию устойчивого роста.</w:t>
      </w:r>
    </w:p>
    <w:p w:rsidR="003D6B0C" w:rsidRPr="00F03806" w:rsidRDefault="003D6B0C" w:rsidP="003D6B0C">
      <w:pPr>
        <w:shd w:val="clear" w:color="auto" w:fill="FFFFFF"/>
        <w:jc w:val="left"/>
        <w:textAlignment w:val="baseline"/>
        <w:rPr>
          <w:szCs w:val="24"/>
        </w:rPr>
      </w:pPr>
    </w:p>
    <w:p w:rsidR="00B331F9" w:rsidRPr="00F03806" w:rsidRDefault="00F03806" w:rsidP="003D6B0C">
      <w:pPr>
        <w:shd w:val="clear" w:color="auto" w:fill="FFFFFF"/>
        <w:ind w:firstLine="540"/>
        <w:jc w:val="center"/>
        <w:rPr>
          <w:rFonts w:eastAsia="Times New Roman"/>
          <w:szCs w:val="24"/>
          <w:lang w:eastAsia="ru-RU"/>
        </w:rPr>
      </w:pPr>
      <w:r w:rsidRPr="00F03806">
        <w:rPr>
          <w:rFonts w:eastAsia="Times New Roman"/>
          <w:b/>
          <w:bCs/>
          <w:szCs w:val="24"/>
          <w:lang w:eastAsia="ru-RU"/>
        </w:rPr>
        <w:t>Библиографический список</w:t>
      </w:r>
    </w:p>
    <w:p w:rsidR="007A0DBD" w:rsidRPr="00F03806" w:rsidRDefault="003D6B0C" w:rsidP="003D6B0C">
      <w:pPr>
        <w:pStyle w:val="a4"/>
        <w:rPr>
          <w:sz w:val="24"/>
          <w:szCs w:val="24"/>
        </w:rPr>
      </w:pPr>
      <w:r w:rsidRPr="00F03806">
        <w:rPr>
          <w:sz w:val="24"/>
          <w:szCs w:val="24"/>
        </w:rPr>
        <w:t>1.  </w:t>
      </w:r>
      <w:proofErr w:type="spellStart"/>
      <w:r w:rsidR="007A0DBD" w:rsidRPr="00F03806">
        <w:rPr>
          <w:sz w:val="24"/>
          <w:szCs w:val="24"/>
        </w:rPr>
        <w:t>Беляевский</w:t>
      </w:r>
      <w:proofErr w:type="spellEnd"/>
      <w:r w:rsidR="007A0DBD" w:rsidRPr="00F03806">
        <w:rPr>
          <w:sz w:val="24"/>
          <w:szCs w:val="24"/>
        </w:rPr>
        <w:t xml:space="preserve"> И.К. Показатели денежных доходов и расходов в изучении уровня и качества жизни населения России // Вопросы статистики. 2016. № 2. С. 57-70.</w:t>
      </w:r>
    </w:p>
    <w:p w:rsidR="00F03806" w:rsidRPr="00F03806" w:rsidRDefault="00F03806" w:rsidP="00F03806">
      <w:pPr>
        <w:pStyle w:val="a4"/>
        <w:rPr>
          <w:sz w:val="24"/>
          <w:szCs w:val="24"/>
        </w:rPr>
      </w:pPr>
      <w:r w:rsidRPr="00F03806">
        <w:rPr>
          <w:sz w:val="24"/>
          <w:szCs w:val="24"/>
        </w:rPr>
        <w:t>2.  </w:t>
      </w:r>
      <w:r w:rsidRPr="00F03806">
        <w:rPr>
          <w:sz w:val="24"/>
          <w:szCs w:val="24"/>
        </w:rPr>
        <w:t>Бюллетень о текущих тенденциях российской экономики // Аналитический центр при Правительстве РФ. – URL: http://ac.gov.ru/files/publication/a/20946.pdf</w:t>
      </w:r>
    </w:p>
    <w:p w:rsidR="00F03806" w:rsidRPr="00F03806" w:rsidRDefault="00F03806" w:rsidP="00F03806">
      <w:pPr>
        <w:pStyle w:val="a4"/>
        <w:rPr>
          <w:sz w:val="24"/>
          <w:szCs w:val="24"/>
        </w:rPr>
      </w:pPr>
      <w:r w:rsidRPr="00F03806">
        <w:rPr>
          <w:sz w:val="24"/>
          <w:szCs w:val="24"/>
        </w:rPr>
        <w:t>3.  </w:t>
      </w:r>
      <w:r w:rsidRPr="00F03806">
        <w:rPr>
          <w:sz w:val="24"/>
          <w:szCs w:val="24"/>
        </w:rPr>
        <w:t>В 2018 году россияне взяли кредиты на 8,6 трлн руб. // РБК. – URL: https://www.rbc.ru/rbcfreenews/5c49757c9a79474198d0dbfc</w:t>
      </w:r>
    </w:p>
    <w:p w:rsidR="00F03806" w:rsidRPr="00F03806" w:rsidRDefault="00F03806" w:rsidP="00F03806">
      <w:pPr>
        <w:pStyle w:val="a4"/>
        <w:rPr>
          <w:sz w:val="24"/>
          <w:szCs w:val="24"/>
        </w:rPr>
      </w:pPr>
      <w:r w:rsidRPr="00F03806">
        <w:rPr>
          <w:sz w:val="24"/>
          <w:szCs w:val="24"/>
        </w:rPr>
        <w:t>4.  </w:t>
      </w:r>
      <w:r w:rsidRPr="00F03806">
        <w:rPr>
          <w:sz w:val="24"/>
          <w:szCs w:val="24"/>
        </w:rPr>
        <w:t>Долги россиян перед банками превысили 12 трлн рублей / Ведомости. – URL: https://www.vedomosti.ru/finance/articles/2018/01/31/749478-dolgi-previsili-12-trln</w:t>
      </w:r>
    </w:p>
    <w:p w:rsidR="00F03806" w:rsidRPr="00F03806" w:rsidRDefault="00F03806" w:rsidP="00F03806">
      <w:pPr>
        <w:pStyle w:val="a4"/>
        <w:rPr>
          <w:sz w:val="24"/>
          <w:szCs w:val="24"/>
        </w:rPr>
      </w:pPr>
      <w:r w:rsidRPr="00F03806">
        <w:rPr>
          <w:sz w:val="24"/>
          <w:szCs w:val="24"/>
        </w:rPr>
        <w:t>5.  </w:t>
      </w:r>
      <w:r w:rsidRPr="00F03806">
        <w:rPr>
          <w:sz w:val="24"/>
          <w:szCs w:val="24"/>
        </w:rPr>
        <w:t>Доходы падают, сбережения растут. Россияне накопили рекордную сумму // Аргументы и факты. – URL: http://www.aif.ru/money/economy/dohody_padayut_sberezheniya_rastut_rossiyane_nakopili_rekordnuyu_summu</w:t>
      </w:r>
    </w:p>
    <w:p w:rsidR="00F03806" w:rsidRPr="00F03806" w:rsidRDefault="00F03806" w:rsidP="00F03806">
      <w:pPr>
        <w:pStyle w:val="a4"/>
        <w:rPr>
          <w:sz w:val="24"/>
          <w:szCs w:val="24"/>
        </w:rPr>
      </w:pPr>
      <w:r w:rsidRPr="00F03806">
        <w:rPr>
          <w:sz w:val="24"/>
          <w:szCs w:val="24"/>
        </w:rPr>
        <w:t>6.  </w:t>
      </w:r>
      <w:r w:rsidRPr="00F03806">
        <w:rPr>
          <w:sz w:val="24"/>
          <w:szCs w:val="24"/>
        </w:rPr>
        <w:t>Измайлов М., Степанов Г. Россияне предпочитают сберегать // NEWS.RU. – URL: https://news.ru/den-gi/sberegatel-naya-model-potreblenie-nakopleniya/</w:t>
      </w:r>
    </w:p>
    <w:p w:rsidR="00F03806" w:rsidRPr="00F03806" w:rsidRDefault="00F03806" w:rsidP="00F03806">
      <w:pPr>
        <w:pStyle w:val="a4"/>
        <w:rPr>
          <w:sz w:val="24"/>
          <w:szCs w:val="24"/>
        </w:rPr>
      </w:pPr>
      <w:r w:rsidRPr="00F03806">
        <w:rPr>
          <w:sz w:val="24"/>
          <w:szCs w:val="24"/>
        </w:rPr>
        <w:t>7.  </w:t>
      </w:r>
      <w:r w:rsidRPr="00F03806">
        <w:rPr>
          <w:sz w:val="24"/>
          <w:szCs w:val="24"/>
        </w:rPr>
        <w:t>Путин поставил цель для государства: хорошо и долго живущий россиянин / ТАСС. – URL: https://tass.ru/politika/4999765</w:t>
      </w:r>
    </w:p>
    <w:p w:rsidR="00F03806" w:rsidRPr="00F03806" w:rsidRDefault="00F03806" w:rsidP="00F03806">
      <w:pPr>
        <w:pStyle w:val="a4"/>
        <w:rPr>
          <w:sz w:val="24"/>
          <w:szCs w:val="24"/>
        </w:rPr>
      </w:pPr>
      <w:r w:rsidRPr="00F03806">
        <w:rPr>
          <w:sz w:val="24"/>
          <w:szCs w:val="24"/>
        </w:rPr>
        <w:t>8.  </w:t>
      </w:r>
      <w:r w:rsidRPr="00F03806">
        <w:rPr>
          <w:sz w:val="24"/>
          <w:szCs w:val="24"/>
        </w:rPr>
        <w:t>Россияне стали меньше экономить / НАФИ. – URL: https://nafi.ru/analytics/rossiyane-stali-menshe-ekonomit/</w:t>
      </w:r>
    </w:p>
    <w:p w:rsidR="003D6B0C" w:rsidRPr="00F03806" w:rsidRDefault="003D6B0C" w:rsidP="003D6B0C">
      <w:pPr>
        <w:pStyle w:val="a4"/>
        <w:rPr>
          <w:sz w:val="24"/>
          <w:szCs w:val="24"/>
        </w:rPr>
      </w:pPr>
    </w:p>
    <w:p w:rsidR="00B331F9" w:rsidRPr="00F03806" w:rsidRDefault="00B331F9" w:rsidP="00B331F9">
      <w:pPr>
        <w:jc w:val="center"/>
        <w:rPr>
          <w:rFonts w:eastAsia="Times New Roman"/>
          <w:b/>
          <w:szCs w:val="24"/>
          <w:lang w:eastAsia="ru-RU"/>
        </w:rPr>
      </w:pPr>
      <w:r w:rsidRPr="00F03806">
        <w:rPr>
          <w:rFonts w:eastAsia="Times New Roman"/>
          <w:b/>
          <w:szCs w:val="24"/>
          <w:lang w:eastAsia="ru-RU"/>
        </w:rPr>
        <w:t>Информация об авторе</w:t>
      </w:r>
    </w:p>
    <w:p w:rsidR="00B331F9" w:rsidRPr="00F03806" w:rsidRDefault="00B331F9" w:rsidP="00B331F9">
      <w:pPr>
        <w:ind w:firstLine="709"/>
        <w:rPr>
          <w:szCs w:val="24"/>
        </w:rPr>
      </w:pPr>
      <w:r w:rsidRPr="00F03806">
        <w:rPr>
          <w:szCs w:val="24"/>
        </w:rPr>
        <w:t xml:space="preserve">Белехова Галина Вадимовна  – научный сотрудник лаборатории исследования проблем развития трудового потенциала отдела исследования уровня и образа жизни населения, </w:t>
      </w:r>
      <w:r w:rsidR="002B48EF" w:rsidRPr="00F03806">
        <w:rPr>
          <w:szCs w:val="24"/>
        </w:rPr>
        <w:t>Федеральное государственное бюджетное учреждение науки «</w:t>
      </w:r>
      <w:r w:rsidRPr="00F03806">
        <w:rPr>
          <w:szCs w:val="24"/>
        </w:rPr>
        <w:t>Вологодский научный центр Р</w:t>
      </w:r>
      <w:r w:rsidR="002B48EF" w:rsidRPr="00F03806">
        <w:rPr>
          <w:szCs w:val="24"/>
        </w:rPr>
        <w:t>оссийской академии наук» (160014, Россия, г. Вологда, ул. Горького 56а)</w:t>
      </w:r>
      <w:r w:rsidRPr="00F03806">
        <w:rPr>
          <w:szCs w:val="24"/>
        </w:rPr>
        <w:t>;</w:t>
      </w:r>
      <w:r w:rsidR="002B48EF" w:rsidRPr="00F03806">
        <w:rPr>
          <w:szCs w:val="24"/>
        </w:rPr>
        <w:t xml:space="preserve"> тел. 8(8172)59-78-10 (доб. 312), </w:t>
      </w:r>
      <w:r w:rsidR="002B48EF" w:rsidRPr="00F03806">
        <w:rPr>
          <w:szCs w:val="24"/>
          <w:lang w:val="en-US"/>
        </w:rPr>
        <w:t>e</w:t>
      </w:r>
      <w:r w:rsidR="002B48EF" w:rsidRPr="00F03806">
        <w:rPr>
          <w:szCs w:val="24"/>
        </w:rPr>
        <w:t>-</w:t>
      </w:r>
      <w:r w:rsidR="002B48EF" w:rsidRPr="00F03806">
        <w:rPr>
          <w:szCs w:val="24"/>
          <w:lang w:val="en-US"/>
        </w:rPr>
        <w:t>mail</w:t>
      </w:r>
      <w:r w:rsidR="002B48EF" w:rsidRPr="00F03806">
        <w:rPr>
          <w:szCs w:val="24"/>
        </w:rPr>
        <w:t>:</w:t>
      </w:r>
      <w:r w:rsidRPr="00F03806">
        <w:rPr>
          <w:szCs w:val="24"/>
        </w:rPr>
        <w:t xml:space="preserve"> </w:t>
      </w:r>
      <w:hyperlink r:id="rId12" w:history="1">
        <w:r w:rsidRPr="00F03806">
          <w:rPr>
            <w:rStyle w:val="af1"/>
            <w:color w:val="auto"/>
            <w:szCs w:val="24"/>
            <w:lang w:val="en-US"/>
          </w:rPr>
          <w:t>belek</w:t>
        </w:r>
        <w:r w:rsidRPr="00F03806">
          <w:rPr>
            <w:rStyle w:val="af1"/>
            <w:color w:val="auto"/>
            <w:szCs w:val="24"/>
          </w:rPr>
          <w:t>-</w:t>
        </w:r>
        <w:r w:rsidRPr="00F03806">
          <w:rPr>
            <w:rStyle w:val="af1"/>
            <w:color w:val="auto"/>
            <w:szCs w:val="24"/>
            <w:lang w:val="en-US"/>
          </w:rPr>
          <w:t>galina</w:t>
        </w:r>
        <w:r w:rsidRPr="00F03806">
          <w:rPr>
            <w:rStyle w:val="af1"/>
            <w:color w:val="auto"/>
            <w:szCs w:val="24"/>
          </w:rPr>
          <w:t>@</w:t>
        </w:r>
        <w:r w:rsidRPr="00F03806">
          <w:rPr>
            <w:rStyle w:val="af1"/>
            <w:color w:val="auto"/>
            <w:szCs w:val="24"/>
            <w:lang w:val="en-US"/>
          </w:rPr>
          <w:t>yandex</w:t>
        </w:r>
        <w:r w:rsidRPr="00F03806">
          <w:rPr>
            <w:rStyle w:val="af1"/>
            <w:color w:val="auto"/>
            <w:szCs w:val="24"/>
          </w:rPr>
          <w:t>.</w:t>
        </w:r>
        <w:proofErr w:type="spellStart"/>
        <w:r w:rsidRPr="00F03806">
          <w:rPr>
            <w:rStyle w:val="af1"/>
            <w:color w:val="auto"/>
            <w:szCs w:val="24"/>
            <w:lang w:val="en-US"/>
          </w:rPr>
          <w:t>ru</w:t>
        </w:r>
        <w:proofErr w:type="spellEnd"/>
      </w:hyperlink>
    </w:p>
    <w:p w:rsidR="002B48EF" w:rsidRPr="00F03806" w:rsidRDefault="002B48EF" w:rsidP="00B331F9">
      <w:pPr>
        <w:rPr>
          <w:szCs w:val="24"/>
        </w:rPr>
      </w:pPr>
    </w:p>
    <w:p w:rsidR="00B331F9" w:rsidRPr="00F03806" w:rsidRDefault="002B48EF" w:rsidP="00B331F9">
      <w:pPr>
        <w:shd w:val="clear" w:color="auto" w:fill="FFFFFF"/>
        <w:ind w:firstLine="540"/>
        <w:jc w:val="right"/>
        <w:rPr>
          <w:rFonts w:eastAsia="Times New Roman"/>
          <w:szCs w:val="24"/>
          <w:lang w:val="en-US" w:eastAsia="ru-RU"/>
        </w:rPr>
      </w:pPr>
      <w:proofErr w:type="spellStart"/>
      <w:r w:rsidRPr="00F03806">
        <w:rPr>
          <w:rFonts w:eastAsia="Times New Roman"/>
          <w:b/>
          <w:bCs/>
          <w:szCs w:val="24"/>
          <w:lang w:val="en-US" w:eastAsia="ru-RU"/>
        </w:rPr>
        <w:t>Belekhova</w:t>
      </w:r>
      <w:proofErr w:type="spellEnd"/>
      <w:r w:rsidRPr="00F03806">
        <w:rPr>
          <w:rFonts w:eastAsia="Times New Roman"/>
          <w:b/>
          <w:bCs/>
          <w:szCs w:val="24"/>
          <w:lang w:val="en-US" w:eastAsia="ru-RU"/>
        </w:rPr>
        <w:t xml:space="preserve"> G.V.</w:t>
      </w:r>
    </w:p>
    <w:p w:rsidR="00B331F9" w:rsidRPr="00F03806" w:rsidRDefault="00B331F9" w:rsidP="00B331F9">
      <w:pPr>
        <w:shd w:val="clear" w:color="auto" w:fill="FFFFFF"/>
        <w:ind w:firstLine="540"/>
        <w:jc w:val="center"/>
        <w:rPr>
          <w:rFonts w:eastAsia="Times New Roman"/>
          <w:szCs w:val="24"/>
          <w:lang w:val="en-US" w:eastAsia="ru-RU"/>
        </w:rPr>
      </w:pPr>
      <w:r w:rsidRPr="00F03806">
        <w:rPr>
          <w:rFonts w:eastAsia="Times New Roman"/>
          <w:b/>
          <w:bCs/>
          <w:szCs w:val="24"/>
          <w:lang w:val="en-US" w:eastAsia="ru-RU"/>
        </w:rPr>
        <w:t>  </w:t>
      </w:r>
    </w:p>
    <w:p w:rsidR="00B331F9" w:rsidRPr="00F03806" w:rsidRDefault="002B48EF" w:rsidP="00B331F9">
      <w:pPr>
        <w:shd w:val="clear" w:color="auto" w:fill="FFFFFF"/>
        <w:ind w:firstLine="540"/>
        <w:jc w:val="center"/>
        <w:rPr>
          <w:rFonts w:eastAsia="Times New Roman"/>
          <w:szCs w:val="24"/>
          <w:lang w:val="en-US" w:eastAsia="ru-RU"/>
        </w:rPr>
      </w:pPr>
      <w:r w:rsidRPr="00F03806">
        <w:rPr>
          <w:rFonts w:eastAsia="Times New Roman"/>
          <w:b/>
          <w:bCs/>
          <w:szCs w:val="24"/>
          <w:lang w:val="en-US" w:eastAsia="ru-RU"/>
        </w:rPr>
        <w:t>STANDARD OF LIVING OF RUSSIA’S POPULATION: RESULTS 2008-2017</w:t>
      </w:r>
    </w:p>
    <w:p w:rsidR="00F333C9" w:rsidRPr="00F03806" w:rsidRDefault="00F333C9" w:rsidP="00B331F9">
      <w:pPr>
        <w:shd w:val="clear" w:color="auto" w:fill="FFFFFF"/>
        <w:ind w:firstLine="540"/>
        <w:rPr>
          <w:rFonts w:eastAsia="Times New Roman"/>
          <w:szCs w:val="24"/>
          <w:lang w:eastAsia="ru-RU"/>
        </w:rPr>
      </w:pPr>
    </w:p>
    <w:p w:rsidR="00B331F9" w:rsidRPr="00F03806" w:rsidRDefault="002B48EF" w:rsidP="00B331F9">
      <w:pPr>
        <w:shd w:val="clear" w:color="auto" w:fill="FFFFFF"/>
        <w:ind w:firstLine="540"/>
        <w:rPr>
          <w:rFonts w:eastAsia="Times New Roman"/>
          <w:szCs w:val="24"/>
          <w:lang w:val="en-US" w:eastAsia="ru-RU"/>
        </w:rPr>
      </w:pPr>
      <w:r w:rsidRPr="00F03806">
        <w:rPr>
          <w:rFonts w:eastAsia="Times New Roman"/>
          <w:b/>
          <w:bCs/>
          <w:szCs w:val="24"/>
          <w:lang w:val="en-US" w:eastAsia="ru-RU"/>
        </w:rPr>
        <w:t>Abstract.</w:t>
      </w:r>
      <w:r w:rsidR="00B331F9" w:rsidRPr="00F03806">
        <w:rPr>
          <w:rFonts w:eastAsia="Times New Roman"/>
          <w:b/>
          <w:bCs/>
          <w:szCs w:val="24"/>
          <w:lang w:val="en-US" w:eastAsia="ru-RU"/>
        </w:rPr>
        <w:t> </w:t>
      </w:r>
      <w:r w:rsidR="00F333C9" w:rsidRPr="00F03806">
        <w:rPr>
          <w:rFonts w:eastAsia="Times New Roman"/>
          <w:i/>
          <w:iCs/>
          <w:szCs w:val="24"/>
          <w:lang w:val="en-US" w:eastAsia="ru-RU"/>
        </w:rPr>
        <w:t xml:space="preserve">The article presents an assessment of changes in the standard of living of Russians over the decade that has passed since the 2008 crisis. The </w:t>
      </w:r>
      <w:r w:rsidR="00C33069" w:rsidRPr="00F03806">
        <w:rPr>
          <w:rFonts w:eastAsia="Times New Roman"/>
          <w:i/>
          <w:iCs/>
          <w:szCs w:val="24"/>
          <w:lang w:val="en-US" w:eastAsia="ru-RU"/>
        </w:rPr>
        <w:t>article finds</w:t>
      </w:r>
      <w:r w:rsidR="00F333C9" w:rsidRPr="00F03806">
        <w:rPr>
          <w:rFonts w:eastAsia="Times New Roman"/>
          <w:i/>
          <w:iCs/>
          <w:szCs w:val="24"/>
          <w:lang w:val="en-US" w:eastAsia="ru-RU"/>
        </w:rPr>
        <w:t xml:space="preserve"> out trend towards stabilization of most indicators of wealth status, which hides the remaining problems of deep social inequality.</w:t>
      </w:r>
    </w:p>
    <w:p w:rsidR="00B331F9" w:rsidRPr="00F03806" w:rsidRDefault="002B48EF" w:rsidP="00B331F9">
      <w:pPr>
        <w:shd w:val="clear" w:color="auto" w:fill="FFFFFF"/>
        <w:ind w:firstLine="540"/>
        <w:rPr>
          <w:rFonts w:eastAsia="Times New Roman"/>
          <w:szCs w:val="24"/>
          <w:lang w:val="en-US" w:eastAsia="ru-RU"/>
        </w:rPr>
      </w:pPr>
      <w:r w:rsidRPr="00F03806">
        <w:rPr>
          <w:rFonts w:eastAsia="Times New Roman"/>
          <w:b/>
          <w:bCs/>
          <w:szCs w:val="24"/>
          <w:lang w:val="en-US" w:eastAsia="ru-RU"/>
        </w:rPr>
        <w:t>Key words</w:t>
      </w:r>
      <w:r w:rsidR="00C33069" w:rsidRPr="00F03806">
        <w:rPr>
          <w:rFonts w:eastAsia="Times New Roman"/>
          <w:b/>
          <w:bCs/>
          <w:szCs w:val="24"/>
          <w:lang w:val="en-US" w:eastAsia="ru-RU"/>
        </w:rPr>
        <w:t>:</w:t>
      </w:r>
      <w:r w:rsidRPr="00F03806">
        <w:rPr>
          <w:rFonts w:eastAsia="Times New Roman"/>
          <w:b/>
          <w:bCs/>
          <w:szCs w:val="24"/>
          <w:lang w:val="en-US" w:eastAsia="ru-RU"/>
        </w:rPr>
        <w:t xml:space="preserve"> </w:t>
      </w:r>
      <w:r w:rsidR="00C33069" w:rsidRPr="00F03806">
        <w:rPr>
          <w:rFonts w:eastAsia="Times New Roman"/>
          <w:bCs/>
          <w:i/>
          <w:szCs w:val="24"/>
          <w:lang w:val="en-US" w:eastAsia="ru-RU"/>
        </w:rPr>
        <w:t>standard of living, inequality, income structure, consumption</w:t>
      </w:r>
    </w:p>
    <w:p w:rsidR="002B48EF" w:rsidRPr="00F03806" w:rsidRDefault="002B48EF" w:rsidP="00B331F9">
      <w:pPr>
        <w:shd w:val="clear" w:color="auto" w:fill="FFFFFF"/>
        <w:ind w:firstLine="540"/>
        <w:jc w:val="center"/>
        <w:rPr>
          <w:rFonts w:eastAsia="Times New Roman"/>
          <w:b/>
          <w:bCs/>
          <w:szCs w:val="24"/>
          <w:lang w:val="en-US" w:eastAsia="ru-RU"/>
        </w:rPr>
      </w:pPr>
    </w:p>
    <w:p w:rsidR="002B48EF" w:rsidRPr="00F03806" w:rsidRDefault="002B48EF" w:rsidP="002B48EF">
      <w:pPr>
        <w:jc w:val="center"/>
        <w:rPr>
          <w:rFonts w:eastAsia="Times New Roman"/>
          <w:b/>
          <w:szCs w:val="24"/>
          <w:lang w:val="en-US" w:eastAsia="ru-RU"/>
        </w:rPr>
      </w:pPr>
      <w:r w:rsidRPr="00F03806">
        <w:rPr>
          <w:rFonts w:eastAsia="Times New Roman"/>
          <w:b/>
          <w:szCs w:val="24"/>
          <w:lang w:val="en-US" w:eastAsia="ru-RU"/>
        </w:rPr>
        <w:t>Information about the Author</w:t>
      </w:r>
    </w:p>
    <w:p w:rsidR="00B331F9" w:rsidRPr="00F03806" w:rsidRDefault="002B48EF" w:rsidP="002B48EF">
      <w:pPr>
        <w:ind w:firstLine="709"/>
        <w:rPr>
          <w:szCs w:val="24"/>
          <w:lang w:val="en-US"/>
        </w:rPr>
      </w:pPr>
      <w:r w:rsidRPr="00F03806">
        <w:rPr>
          <w:szCs w:val="24"/>
          <w:lang w:val="en-US"/>
        </w:rPr>
        <w:t xml:space="preserve">Galina V. </w:t>
      </w:r>
      <w:proofErr w:type="spellStart"/>
      <w:r w:rsidRPr="00F03806">
        <w:rPr>
          <w:szCs w:val="24"/>
          <w:lang w:val="en-US"/>
        </w:rPr>
        <w:t>Belekhova</w:t>
      </w:r>
      <w:proofErr w:type="spellEnd"/>
      <w:r w:rsidRPr="00F03806">
        <w:rPr>
          <w:szCs w:val="24"/>
          <w:lang w:val="en-US"/>
        </w:rPr>
        <w:t xml:space="preserve">  – researcher of the Way and Standard of Living Researching Department, Federal State Budgetary Institution of Sciences «Vologda Research Center of the Russian Academy of Sciences» (56A, Gorky Street, Vologda </w:t>
      </w:r>
      <w:proofErr w:type="spellStart"/>
      <w:r w:rsidRPr="00F03806">
        <w:rPr>
          <w:szCs w:val="24"/>
          <w:lang w:val="en-US"/>
        </w:rPr>
        <w:t>Vologda</w:t>
      </w:r>
      <w:proofErr w:type="spellEnd"/>
      <w:r w:rsidRPr="00F03806">
        <w:rPr>
          <w:szCs w:val="24"/>
          <w:lang w:val="en-US"/>
        </w:rPr>
        <w:t xml:space="preserve"> Region,, 160014, Russia); e-mail: belek-galina@yandex.ru</w:t>
      </w:r>
    </w:p>
    <w:p w:rsidR="00B331F9" w:rsidRPr="00F03806" w:rsidRDefault="00B331F9" w:rsidP="00B331F9">
      <w:pPr>
        <w:rPr>
          <w:szCs w:val="24"/>
        </w:rPr>
      </w:pPr>
    </w:p>
    <w:p w:rsidR="00B331F9" w:rsidRPr="00F03806" w:rsidRDefault="00B331F9" w:rsidP="00B331F9">
      <w:pPr>
        <w:rPr>
          <w:szCs w:val="24"/>
        </w:rPr>
      </w:pPr>
    </w:p>
    <w:p w:rsidR="00B331F9" w:rsidRPr="00F03806" w:rsidRDefault="00B331F9" w:rsidP="00B331F9">
      <w:pPr>
        <w:rPr>
          <w:szCs w:val="24"/>
        </w:rPr>
      </w:pPr>
    </w:p>
    <w:p w:rsidR="00B331F9" w:rsidRPr="00F03806" w:rsidRDefault="00B331F9" w:rsidP="00B331F9">
      <w:pPr>
        <w:rPr>
          <w:szCs w:val="24"/>
        </w:rPr>
      </w:pPr>
    </w:p>
    <w:p w:rsidR="00B331F9" w:rsidRPr="00F03806" w:rsidRDefault="00B331F9" w:rsidP="00B331F9">
      <w:pPr>
        <w:rPr>
          <w:szCs w:val="24"/>
        </w:rPr>
      </w:pPr>
    </w:p>
    <w:p w:rsidR="00B331F9" w:rsidRPr="00F03806" w:rsidRDefault="00B331F9" w:rsidP="00B331F9">
      <w:pPr>
        <w:rPr>
          <w:szCs w:val="24"/>
          <w:lang w:val="en-US"/>
        </w:rPr>
      </w:pPr>
      <w:bookmarkStart w:id="0" w:name="_GoBack"/>
      <w:bookmarkEnd w:id="0"/>
    </w:p>
    <w:sectPr w:rsidR="00B331F9" w:rsidRPr="00F03806" w:rsidSect="00F03806">
      <w:footerReference w:type="default" r:id="rId13"/>
      <w:pgSz w:w="11906" w:h="16838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19F" w:rsidRDefault="0010719F" w:rsidP="009B0904">
      <w:r>
        <w:separator/>
      </w:r>
    </w:p>
  </w:endnote>
  <w:endnote w:type="continuationSeparator" w:id="0">
    <w:p w:rsidR="0010719F" w:rsidRDefault="0010719F" w:rsidP="009B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8787779"/>
    </w:sdtPr>
    <w:sdtContent>
      <w:p w:rsidR="0010719F" w:rsidRDefault="0010719F" w:rsidP="0071084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8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19F" w:rsidRDefault="0010719F" w:rsidP="009B0904">
      <w:r>
        <w:separator/>
      </w:r>
    </w:p>
  </w:footnote>
  <w:footnote w:type="continuationSeparator" w:id="0">
    <w:p w:rsidR="0010719F" w:rsidRDefault="0010719F" w:rsidP="009B0904">
      <w:r>
        <w:continuationSeparator/>
      </w:r>
    </w:p>
  </w:footnote>
  <w:footnote w:id="1">
    <w:p w:rsidR="0010719F" w:rsidRPr="00BF3920" w:rsidRDefault="0010719F">
      <w:pPr>
        <w:pStyle w:val="a4"/>
      </w:pPr>
      <w:r w:rsidRPr="00BF3920">
        <w:rPr>
          <w:rStyle w:val="a6"/>
        </w:rPr>
        <w:footnoteRef/>
      </w:r>
      <w:r w:rsidRPr="00BF3920">
        <w:t xml:space="preserve"> В РФ вклад расходов домашних хозяйств на конечное потребление в ВВП составил в 2012 г. 50,6%, в 2015 г. – 52%, в 2016 г. – 52,8% и в 2017 г. – 52,2%.</w:t>
      </w:r>
    </w:p>
  </w:footnote>
  <w:footnote w:id="2">
    <w:p w:rsidR="0010719F" w:rsidRPr="00BF3920" w:rsidRDefault="0010719F">
      <w:pPr>
        <w:pStyle w:val="a4"/>
      </w:pPr>
      <w:r w:rsidRPr="00BF3920">
        <w:rPr>
          <w:rStyle w:val="a6"/>
        </w:rPr>
        <w:footnoteRef/>
      </w:r>
      <w:r w:rsidRPr="00BF3920">
        <w:t xml:space="preserve"> В РФ по состоянию на 201</w:t>
      </w:r>
      <w:r w:rsidR="00F03806" w:rsidRPr="00F03806">
        <w:t>8</w:t>
      </w:r>
      <w:r w:rsidRPr="00BF3920">
        <w:t xml:space="preserve"> г. общий объем сбережений населения в виде банковских вкладов и наличных денег составил </w:t>
      </w:r>
      <w:r w:rsidR="00F03806">
        <w:t>около</w:t>
      </w:r>
      <w:r w:rsidRPr="00BF3920">
        <w:t xml:space="preserve"> 34 трлн. рублей.</w:t>
      </w:r>
    </w:p>
  </w:footnote>
  <w:footnote w:id="3">
    <w:p w:rsidR="0010719F" w:rsidRPr="001E50CC" w:rsidRDefault="0010719F" w:rsidP="001E50CC">
      <w:pPr>
        <w:pStyle w:val="a4"/>
      </w:pPr>
      <w:r>
        <w:rPr>
          <w:rStyle w:val="a6"/>
        </w:rPr>
        <w:footnoteRef/>
      </w:r>
      <w:r>
        <w:t xml:space="preserve"> Бюллетень о текущих тенденциях российской экономики // Аналитический центр при Правительстве РФ. – </w:t>
      </w:r>
      <w:r w:rsidRPr="00BF3920">
        <w:rPr>
          <w:lang w:val="en-US"/>
        </w:rPr>
        <w:t>URL</w:t>
      </w:r>
      <w:r w:rsidRPr="00BF3920">
        <w:t>:</w:t>
      </w:r>
      <w:r w:rsidRPr="001E50CC">
        <w:t xml:space="preserve"> http://ac.gov.ru/files/publication/a/20946.pdf</w:t>
      </w:r>
    </w:p>
  </w:footnote>
  <w:footnote w:id="4">
    <w:p w:rsidR="0010719F" w:rsidRPr="00C33069" w:rsidRDefault="0010719F">
      <w:pPr>
        <w:pStyle w:val="a4"/>
      </w:pPr>
      <w:r>
        <w:rPr>
          <w:rStyle w:val="a6"/>
        </w:rPr>
        <w:footnoteRef/>
      </w:r>
      <w:r>
        <w:t xml:space="preserve"> Росстат. Уровень жизни. – </w:t>
      </w:r>
      <w:r>
        <w:rPr>
          <w:lang w:val="en-US"/>
        </w:rPr>
        <w:t>URL</w:t>
      </w:r>
      <w:r>
        <w:t xml:space="preserve">: </w:t>
      </w:r>
      <w:r w:rsidRPr="00C33069">
        <w:t>http://www.gks.ru/wps/wcm/connect/rosstat_main/rosstat/ru/statistics/population/level/#</w:t>
      </w:r>
    </w:p>
  </w:footnote>
  <w:footnote w:id="5">
    <w:p w:rsidR="0010719F" w:rsidRDefault="0010719F">
      <w:pPr>
        <w:pStyle w:val="a4"/>
      </w:pPr>
      <w:r w:rsidRPr="006516A4">
        <w:rPr>
          <w:rStyle w:val="a6"/>
        </w:rPr>
        <w:footnoteRef/>
      </w:r>
      <w:r w:rsidRPr="006516A4">
        <w:t xml:space="preserve"> В 2017 г. реальная заработная плата составила 96% от уровня 2013 года (последний период роста совокупных доходов населения) и 94,8% от уровня 2014 года (последний период роста заработных плат перед спадом); реальный размер назначенных пенсий составил 97,1% от уровня 2013 года и 96,3% от уровня 2014 года.</w:t>
      </w:r>
    </w:p>
  </w:footnote>
  <w:footnote w:id="6">
    <w:p w:rsidR="0010719F" w:rsidRDefault="0010719F">
      <w:pPr>
        <w:pStyle w:val="a4"/>
      </w:pPr>
      <w:r>
        <w:rPr>
          <w:rStyle w:val="a6"/>
        </w:rPr>
        <w:footnoteRef/>
      </w:r>
      <w:r w:rsidR="00F03806">
        <w:t xml:space="preserve"> Связано</w:t>
      </w:r>
      <w:r>
        <w:t xml:space="preserve"> с увеличением доли лиц старшего трудоспособного возраста и произведенной в начале 2017 г. единовременной доплатой к пенсиям.</w:t>
      </w:r>
    </w:p>
  </w:footnote>
  <w:footnote w:id="7">
    <w:p w:rsidR="0010719F" w:rsidRDefault="0010719F">
      <w:pPr>
        <w:pStyle w:val="a4"/>
      </w:pPr>
      <w:r>
        <w:rPr>
          <w:rStyle w:val="a6"/>
        </w:rPr>
        <w:footnoteRef/>
      </w:r>
      <w:r>
        <w:t xml:space="preserve"> </w:t>
      </w:r>
      <w:r w:rsidRPr="00172A53">
        <w:t>Показатели деятельности кредитных организаций</w:t>
      </w:r>
      <w:r>
        <w:t xml:space="preserve"> // Центральный банк Российской Федерации. – </w:t>
      </w:r>
      <w:r>
        <w:rPr>
          <w:lang w:val="en-US"/>
        </w:rPr>
        <w:t>URL</w:t>
      </w:r>
      <w:r>
        <w:t xml:space="preserve">: </w:t>
      </w:r>
      <w:r w:rsidRPr="00172A53">
        <w:t>https://www.cbr.ru/statistics/?PrtId=pdko_sub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923EF"/>
    <w:multiLevelType w:val="hybridMultilevel"/>
    <w:tmpl w:val="A28EB762"/>
    <w:lvl w:ilvl="0" w:tplc="39864B6A">
      <w:start w:val="1"/>
      <w:numFmt w:val="bullet"/>
      <w:lvlText w:val=""/>
      <w:lvlJc w:val="left"/>
      <w:pPr>
        <w:tabs>
          <w:tab w:val="num" w:pos="1021"/>
        </w:tabs>
        <w:ind w:left="0" w:firstLine="567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FF5012E"/>
    <w:multiLevelType w:val="hybridMultilevel"/>
    <w:tmpl w:val="1C3EFF76"/>
    <w:lvl w:ilvl="0" w:tplc="D83AA85C">
      <w:start w:val="1"/>
      <w:numFmt w:val="bullet"/>
      <w:pStyle w:val="a"/>
      <w:lvlText w:val=""/>
      <w:lvlJc w:val="left"/>
      <w:pPr>
        <w:tabs>
          <w:tab w:val="num" w:pos="964"/>
        </w:tabs>
        <w:ind w:left="0" w:firstLine="567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621221B"/>
    <w:multiLevelType w:val="hybridMultilevel"/>
    <w:tmpl w:val="FE58FD2C"/>
    <w:lvl w:ilvl="0" w:tplc="DCB0102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FFC"/>
    <w:rsid w:val="00016B6E"/>
    <w:rsid w:val="00027BDB"/>
    <w:rsid w:val="00034B89"/>
    <w:rsid w:val="0006680F"/>
    <w:rsid w:val="0007709F"/>
    <w:rsid w:val="00095C41"/>
    <w:rsid w:val="000B4555"/>
    <w:rsid w:val="000E495D"/>
    <w:rsid w:val="000E74B4"/>
    <w:rsid w:val="00105A2A"/>
    <w:rsid w:val="0010719F"/>
    <w:rsid w:val="0011290D"/>
    <w:rsid w:val="001532D1"/>
    <w:rsid w:val="00163233"/>
    <w:rsid w:val="00172A53"/>
    <w:rsid w:val="001A5817"/>
    <w:rsid w:val="001A7C58"/>
    <w:rsid w:val="001B0459"/>
    <w:rsid w:val="001D01AC"/>
    <w:rsid w:val="001D4452"/>
    <w:rsid w:val="001E50CC"/>
    <w:rsid w:val="001E5785"/>
    <w:rsid w:val="001F35EC"/>
    <w:rsid w:val="00201DB3"/>
    <w:rsid w:val="00202B12"/>
    <w:rsid w:val="00203BD2"/>
    <w:rsid w:val="002068F8"/>
    <w:rsid w:val="00212C7C"/>
    <w:rsid w:val="002308EA"/>
    <w:rsid w:val="00244D33"/>
    <w:rsid w:val="0029721A"/>
    <w:rsid w:val="002A0B15"/>
    <w:rsid w:val="002A36D7"/>
    <w:rsid w:val="002A3AFB"/>
    <w:rsid w:val="002B48EF"/>
    <w:rsid w:val="002E5881"/>
    <w:rsid w:val="002F3D32"/>
    <w:rsid w:val="00304489"/>
    <w:rsid w:val="00304E45"/>
    <w:rsid w:val="00315232"/>
    <w:rsid w:val="00357219"/>
    <w:rsid w:val="00360164"/>
    <w:rsid w:val="00367929"/>
    <w:rsid w:val="00367AA6"/>
    <w:rsid w:val="003879B8"/>
    <w:rsid w:val="003C55D4"/>
    <w:rsid w:val="003D2497"/>
    <w:rsid w:val="003D6B0C"/>
    <w:rsid w:val="003E26A6"/>
    <w:rsid w:val="00407C3D"/>
    <w:rsid w:val="00450920"/>
    <w:rsid w:val="00464E69"/>
    <w:rsid w:val="00472A99"/>
    <w:rsid w:val="004A3944"/>
    <w:rsid w:val="004A6989"/>
    <w:rsid w:val="004B2CBF"/>
    <w:rsid w:val="004E5332"/>
    <w:rsid w:val="00545223"/>
    <w:rsid w:val="005536AD"/>
    <w:rsid w:val="00561401"/>
    <w:rsid w:val="005633F3"/>
    <w:rsid w:val="00563D3E"/>
    <w:rsid w:val="00572869"/>
    <w:rsid w:val="00580240"/>
    <w:rsid w:val="0059389A"/>
    <w:rsid w:val="005B6204"/>
    <w:rsid w:val="005D2B2D"/>
    <w:rsid w:val="005E0C32"/>
    <w:rsid w:val="00623CC1"/>
    <w:rsid w:val="00636A8F"/>
    <w:rsid w:val="006412CE"/>
    <w:rsid w:val="006444FF"/>
    <w:rsid w:val="00645FD5"/>
    <w:rsid w:val="0065081C"/>
    <w:rsid w:val="006516A4"/>
    <w:rsid w:val="0068129D"/>
    <w:rsid w:val="00684E56"/>
    <w:rsid w:val="006C5F94"/>
    <w:rsid w:val="006E2445"/>
    <w:rsid w:val="006E57DD"/>
    <w:rsid w:val="006E5837"/>
    <w:rsid w:val="006F63A5"/>
    <w:rsid w:val="00710848"/>
    <w:rsid w:val="00715EE6"/>
    <w:rsid w:val="00724C1E"/>
    <w:rsid w:val="00741677"/>
    <w:rsid w:val="00755A13"/>
    <w:rsid w:val="0077432F"/>
    <w:rsid w:val="007909AF"/>
    <w:rsid w:val="007A0DBD"/>
    <w:rsid w:val="00805FB2"/>
    <w:rsid w:val="00810A53"/>
    <w:rsid w:val="00850604"/>
    <w:rsid w:val="00856C65"/>
    <w:rsid w:val="008636D9"/>
    <w:rsid w:val="008C4952"/>
    <w:rsid w:val="008C657C"/>
    <w:rsid w:val="008E609C"/>
    <w:rsid w:val="008F1CAC"/>
    <w:rsid w:val="00905A40"/>
    <w:rsid w:val="0090683E"/>
    <w:rsid w:val="00906C48"/>
    <w:rsid w:val="009155EC"/>
    <w:rsid w:val="00916E5E"/>
    <w:rsid w:val="0091735C"/>
    <w:rsid w:val="00923675"/>
    <w:rsid w:val="00924BFA"/>
    <w:rsid w:val="009272FC"/>
    <w:rsid w:val="00951464"/>
    <w:rsid w:val="009825DD"/>
    <w:rsid w:val="00990826"/>
    <w:rsid w:val="009A1E92"/>
    <w:rsid w:val="009A6D5B"/>
    <w:rsid w:val="009B0904"/>
    <w:rsid w:val="009B52D9"/>
    <w:rsid w:val="009D588D"/>
    <w:rsid w:val="009D63CD"/>
    <w:rsid w:val="009E4FC0"/>
    <w:rsid w:val="009F422D"/>
    <w:rsid w:val="00A1726E"/>
    <w:rsid w:val="00A34B32"/>
    <w:rsid w:val="00A44116"/>
    <w:rsid w:val="00A75782"/>
    <w:rsid w:val="00A7640E"/>
    <w:rsid w:val="00A85979"/>
    <w:rsid w:val="00A9387B"/>
    <w:rsid w:val="00AB31F1"/>
    <w:rsid w:val="00AE7ACB"/>
    <w:rsid w:val="00B04549"/>
    <w:rsid w:val="00B331F9"/>
    <w:rsid w:val="00B40296"/>
    <w:rsid w:val="00B61D5E"/>
    <w:rsid w:val="00B91443"/>
    <w:rsid w:val="00B97D73"/>
    <w:rsid w:val="00BE1CE4"/>
    <w:rsid w:val="00BE5956"/>
    <w:rsid w:val="00BE621D"/>
    <w:rsid w:val="00BE7B06"/>
    <w:rsid w:val="00BF06B2"/>
    <w:rsid w:val="00BF3920"/>
    <w:rsid w:val="00C06202"/>
    <w:rsid w:val="00C128A9"/>
    <w:rsid w:val="00C33069"/>
    <w:rsid w:val="00C35C59"/>
    <w:rsid w:val="00C37812"/>
    <w:rsid w:val="00C4167D"/>
    <w:rsid w:val="00C864BA"/>
    <w:rsid w:val="00CA5411"/>
    <w:rsid w:val="00CB52BD"/>
    <w:rsid w:val="00CC0B03"/>
    <w:rsid w:val="00CC26AF"/>
    <w:rsid w:val="00CC7C5E"/>
    <w:rsid w:val="00CD2D45"/>
    <w:rsid w:val="00D03838"/>
    <w:rsid w:val="00D32938"/>
    <w:rsid w:val="00D51C30"/>
    <w:rsid w:val="00D601D5"/>
    <w:rsid w:val="00D62902"/>
    <w:rsid w:val="00D74DCD"/>
    <w:rsid w:val="00DF24FB"/>
    <w:rsid w:val="00E00C18"/>
    <w:rsid w:val="00E22E25"/>
    <w:rsid w:val="00E276F6"/>
    <w:rsid w:val="00E32461"/>
    <w:rsid w:val="00E449FC"/>
    <w:rsid w:val="00E70254"/>
    <w:rsid w:val="00E852BD"/>
    <w:rsid w:val="00EA3310"/>
    <w:rsid w:val="00EB5FFC"/>
    <w:rsid w:val="00ED67F1"/>
    <w:rsid w:val="00EF5ECD"/>
    <w:rsid w:val="00F03806"/>
    <w:rsid w:val="00F2573C"/>
    <w:rsid w:val="00F32942"/>
    <w:rsid w:val="00F333C9"/>
    <w:rsid w:val="00F424AE"/>
    <w:rsid w:val="00F50A37"/>
    <w:rsid w:val="00F627A9"/>
    <w:rsid w:val="00F64E47"/>
    <w:rsid w:val="00F6609E"/>
    <w:rsid w:val="00FA3BFA"/>
    <w:rsid w:val="00FB2516"/>
    <w:rsid w:val="00FB2AD2"/>
    <w:rsid w:val="00FB42E0"/>
    <w:rsid w:val="00FC6285"/>
    <w:rsid w:val="00FD0F9D"/>
    <w:rsid w:val="00FD1A9F"/>
    <w:rsid w:val="00FD46E4"/>
    <w:rsid w:val="00FF2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E7ACB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1129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D74DCD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EB5F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footnote text"/>
    <w:aliases w:val="single space Знак,footnote text Знак,Текст сноски Знак1 Знак,Текст сноски Знак Знак Знак,Текст сноски Знак1 Знак Знак Знак,Текст сноски Знак Знак Знак Знак Знак,Текст сноски Знак1 Знак Знак Знак Знак Знак,-++ Знак, Знак,Зн"/>
    <w:basedOn w:val="a0"/>
    <w:link w:val="a5"/>
    <w:uiPriority w:val="99"/>
    <w:unhideWhenUsed/>
    <w:rsid w:val="009B0904"/>
    <w:rPr>
      <w:sz w:val="20"/>
      <w:szCs w:val="20"/>
    </w:rPr>
  </w:style>
  <w:style w:type="character" w:customStyle="1" w:styleId="a5">
    <w:name w:val="Текст сноски Знак"/>
    <w:aliases w:val="single space Знак Знак,footnote text Знак Знак,Текст сноски Знак1 Знак Знак,Текст сноски Знак Знак Знак Знак,Текст сноски Знак1 Знак Знак Знак Знак,Текст сноски Знак Знак Знак Знак Знак Знак,-++ Знак Знак, Знак Знак1,Зн Знак1"/>
    <w:basedOn w:val="a1"/>
    <w:link w:val="a4"/>
    <w:uiPriority w:val="99"/>
    <w:rsid w:val="009B0904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aliases w:val="Знак сноски-FN,Ciae niinee-FN,Знак сноски 1,Referencia nota al pie"/>
    <w:basedOn w:val="a1"/>
    <w:uiPriority w:val="99"/>
    <w:unhideWhenUsed/>
    <w:rsid w:val="009B0904"/>
    <w:rPr>
      <w:vertAlign w:val="superscript"/>
    </w:rPr>
  </w:style>
  <w:style w:type="paragraph" w:styleId="a7">
    <w:name w:val="header"/>
    <w:basedOn w:val="a0"/>
    <w:link w:val="a8"/>
    <w:uiPriority w:val="99"/>
    <w:unhideWhenUsed/>
    <w:rsid w:val="007108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710848"/>
    <w:rPr>
      <w:rFonts w:ascii="Times New Roman" w:hAnsi="Times New Roman" w:cs="Times New Roman"/>
      <w:sz w:val="24"/>
    </w:rPr>
  </w:style>
  <w:style w:type="paragraph" w:styleId="a9">
    <w:name w:val="footer"/>
    <w:basedOn w:val="a0"/>
    <w:link w:val="aa"/>
    <w:uiPriority w:val="99"/>
    <w:unhideWhenUsed/>
    <w:rsid w:val="007108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710848"/>
    <w:rPr>
      <w:rFonts w:ascii="Times New Roman" w:hAnsi="Times New Roman" w:cs="Times New Roman"/>
      <w:sz w:val="24"/>
    </w:rPr>
  </w:style>
  <w:style w:type="paragraph" w:styleId="ab">
    <w:name w:val="Balloon Text"/>
    <w:basedOn w:val="a0"/>
    <w:link w:val="ac"/>
    <w:uiPriority w:val="99"/>
    <w:semiHidden/>
    <w:unhideWhenUsed/>
    <w:rsid w:val="008E60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8E609C"/>
    <w:rPr>
      <w:rFonts w:ascii="Tahoma" w:hAnsi="Tahoma" w:cs="Tahoma"/>
      <w:sz w:val="16"/>
      <w:szCs w:val="16"/>
    </w:rPr>
  </w:style>
  <w:style w:type="character" w:customStyle="1" w:styleId="21">
    <w:name w:val="Текст сноски Знак2"/>
    <w:aliases w:val="single space Знак Знак1,footnote text Знак Знак1,Текст сноски Знак1 Знак Знак1,Текст сноски Знак Знак Знак Знак1,Текст сноски Знак1 Знак Знак Знак Знак1,Текст сноски Знак Знак Знак Знак Знак Знак1,-++ Знак Знак1, Знак Знак,Зн Знак"/>
    <w:basedOn w:val="a1"/>
    <w:rsid w:val="0007709F"/>
    <w:rPr>
      <w:rFonts w:eastAsia="Calibri"/>
      <w:lang w:eastAsia="en-US"/>
    </w:rPr>
  </w:style>
  <w:style w:type="paragraph" w:customStyle="1" w:styleId="a">
    <w:name w:val="список маркер"/>
    <w:basedOn w:val="ad"/>
    <w:link w:val="ae"/>
    <w:qFormat/>
    <w:rsid w:val="0007709F"/>
    <w:pPr>
      <w:numPr>
        <w:numId w:val="1"/>
      </w:numPr>
      <w:spacing w:line="360" w:lineRule="auto"/>
    </w:pPr>
    <w:rPr>
      <w:rFonts w:eastAsia="Times New Roman"/>
      <w:sz w:val="28"/>
      <w:szCs w:val="28"/>
      <w:lang w:eastAsia="ru-RU"/>
    </w:rPr>
  </w:style>
  <w:style w:type="character" w:customStyle="1" w:styleId="ae">
    <w:name w:val="список маркер Знак"/>
    <w:basedOn w:val="a1"/>
    <w:link w:val="a"/>
    <w:rsid w:val="000770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rmal (Web)"/>
    <w:basedOn w:val="a0"/>
    <w:uiPriority w:val="99"/>
    <w:semiHidden/>
    <w:unhideWhenUsed/>
    <w:rsid w:val="0007709F"/>
    <w:rPr>
      <w:szCs w:val="24"/>
    </w:rPr>
  </w:style>
  <w:style w:type="paragraph" w:customStyle="1" w:styleId="af">
    <w:name w:val="???????"/>
    <w:rsid w:val="00464E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0"/>
    <w:link w:val="23"/>
    <w:rsid w:val="00464E69"/>
    <w:pPr>
      <w:spacing w:after="120" w:line="480" w:lineRule="auto"/>
      <w:ind w:firstLine="567"/>
    </w:pPr>
    <w:rPr>
      <w:sz w:val="28"/>
    </w:rPr>
  </w:style>
  <w:style w:type="character" w:customStyle="1" w:styleId="23">
    <w:name w:val="Основной текст 2 Знак"/>
    <w:basedOn w:val="a1"/>
    <w:link w:val="22"/>
    <w:rsid w:val="00464E69"/>
    <w:rPr>
      <w:rFonts w:ascii="Times New Roman" w:hAnsi="Times New Roman" w:cs="Times New Roman"/>
      <w:sz w:val="28"/>
    </w:rPr>
  </w:style>
  <w:style w:type="paragraph" w:styleId="3">
    <w:name w:val="Body Text Indent 3"/>
    <w:basedOn w:val="a0"/>
    <w:link w:val="30"/>
    <w:rsid w:val="00464E69"/>
    <w:pPr>
      <w:spacing w:after="120" w:line="360" w:lineRule="auto"/>
      <w:ind w:left="283" w:firstLine="567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464E69"/>
    <w:rPr>
      <w:rFonts w:ascii="Times New Roman" w:hAnsi="Times New Roman" w:cs="Times New Roman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rsid w:val="00D74DCD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af0">
    <w:name w:val="List Paragraph"/>
    <w:basedOn w:val="a0"/>
    <w:uiPriority w:val="34"/>
    <w:qFormat/>
    <w:rsid w:val="007A0DBD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styleId="af1">
    <w:name w:val="Hyperlink"/>
    <w:basedOn w:val="a1"/>
    <w:uiPriority w:val="99"/>
    <w:unhideWhenUsed/>
    <w:rsid w:val="0011290D"/>
    <w:rPr>
      <w:color w:val="0000FF"/>
      <w:u w:val="single"/>
    </w:rPr>
  </w:style>
  <w:style w:type="character" w:styleId="af2">
    <w:name w:val="Strong"/>
    <w:basedOn w:val="a1"/>
    <w:uiPriority w:val="22"/>
    <w:qFormat/>
    <w:rsid w:val="0011290D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1129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3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34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elek-galin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_____Microsoft_Excel2.xlsx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411995348217199E-2"/>
          <c:y val="5.3635360797291642E-2"/>
          <c:w val="0.83690886274942422"/>
          <c:h val="0.69827515310586163"/>
        </c:manualLayout>
      </c:layout>
      <c:lineChart>
        <c:grouping val="standard"/>
        <c:varyColors val="0"/>
        <c:ser>
          <c:idx val="1"/>
          <c:order val="1"/>
          <c:tx>
            <c:strRef>
              <c:f>Лист1!$A$22</c:f>
              <c:strCache>
                <c:ptCount val="1"/>
                <c:pt idx="0">
                  <c:v>Коэффициент фондов, в разах</c:v>
                </c:pt>
              </c:strCache>
            </c:strRef>
          </c:tx>
          <c:spPr>
            <a:ln w="25400">
              <a:solidFill>
                <a:schemeClr val="tx1">
                  <a:lumMod val="85000"/>
                  <a:lumOff val="15000"/>
                </a:schemeClr>
              </a:solidFill>
            </a:ln>
          </c:spPr>
          <c:marker>
            <c:symbol val="square"/>
            <c:size val="4"/>
            <c:spPr>
              <a:solidFill>
                <a:schemeClr val="tx1">
                  <a:lumMod val="85000"/>
                  <a:lumOff val="15000"/>
                </a:schemeClr>
              </a:solidFill>
              <a:ln>
                <a:solidFill>
                  <a:schemeClr val="tx1">
                    <a:lumMod val="85000"/>
                    <a:lumOff val="15000"/>
                  </a:schemeClr>
                </a:solidFill>
              </a:ln>
            </c:spPr>
          </c:marker>
          <c:dLbls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Лист1!$B$20:$K$20</c:f>
              <c:strCache>
                <c:ptCount val="10"/>
                <c:pt idx="0">
                  <c:v>2008 г.</c:v>
                </c:pt>
                <c:pt idx="1">
                  <c:v>2009 г.</c:v>
                </c:pt>
                <c:pt idx="2">
                  <c:v>2010 г.</c:v>
                </c:pt>
                <c:pt idx="3">
                  <c:v>2011 г.</c:v>
                </c:pt>
                <c:pt idx="4">
                  <c:v>2012 г.</c:v>
                </c:pt>
                <c:pt idx="5">
                  <c:v>2013 г.</c:v>
                </c:pt>
                <c:pt idx="6">
                  <c:v>2014 г.</c:v>
                </c:pt>
                <c:pt idx="7">
                  <c:v>2015 г.</c:v>
                </c:pt>
                <c:pt idx="8">
                  <c:v>2016 г.</c:v>
                </c:pt>
                <c:pt idx="9">
                  <c:v>2017 г.</c:v>
                </c:pt>
              </c:strCache>
            </c:strRef>
          </c:cat>
          <c:val>
            <c:numRef>
              <c:f>Лист1!$B$22:$K$22</c:f>
              <c:numCache>
                <c:formatCode>General</c:formatCode>
                <c:ptCount val="10"/>
                <c:pt idx="0">
                  <c:v>16.600000000000001</c:v>
                </c:pt>
                <c:pt idx="1">
                  <c:v>16.600000000000001</c:v>
                </c:pt>
                <c:pt idx="2">
                  <c:v>16.600000000000001</c:v>
                </c:pt>
                <c:pt idx="3">
                  <c:v>16.2</c:v>
                </c:pt>
                <c:pt idx="4">
                  <c:v>16.399999999999999</c:v>
                </c:pt>
                <c:pt idx="5">
                  <c:v>16.3</c:v>
                </c:pt>
                <c:pt idx="6">
                  <c:v>16</c:v>
                </c:pt>
                <c:pt idx="7">
                  <c:v>15.7</c:v>
                </c:pt>
                <c:pt idx="8">
                  <c:v>15.6</c:v>
                </c:pt>
                <c:pt idx="9">
                  <c:v>15.5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6728448"/>
        <c:axId val="166729984"/>
      </c:lineChart>
      <c:lineChart>
        <c:grouping val="standard"/>
        <c:varyColors val="0"/>
        <c:ser>
          <c:idx val="0"/>
          <c:order val="0"/>
          <c:tx>
            <c:strRef>
              <c:f>Лист1!$A$21</c:f>
              <c:strCache>
                <c:ptCount val="1"/>
                <c:pt idx="0">
                  <c:v>Коэффициент Джини (правая ось)</c:v>
                </c:pt>
              </c:strCache>
            </c:strRef>
          </c:tx>
          <c:spPr>
            <a:ln w="25400">
              <a:solidFill>
                <a:schemeClr val="bg1">
                  <a:lumMod val="50000"/>
                </a:schemeClr>
              </a:solidFill>
            </a:ln>
          </c:spPr>
          <c:marker>
            <c:symbol val="circle"/>
            <c:size val="6"/>
            <c:spPr>
              <a:solidFill>
                <a:schemeClr val="bg1">
                  <a:lumMod val="50000"/>
                </a:schemeClr>
              </a:solidFill>
              <a:ln>
                <a:solidFill>
                  <a:schemeClr val="bg1">
                    <a:lumMod val="50000"/>
                  </a:schemeClr>
                </a:solidFill>
              </a:ln>
            </c:spPr>
          </c:marker>
          <c:dLbls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Лист1!$B$20:$K$20</c:f>
              <c:strCache>
                <c:ptCount val="10"/>
                <c:pt idx="0">
                  <c:v>2008 г.</c:v>
                </c:pt>
                <c:pt idx="1">
                  <c:v>2009 г.</c:v>
                </c:pt>
                <c:pt idx="2">
                  <c:v>2010 г.</c:v>
                </c:pt>
                <c:pt idx="3">
                  <c:v>2011 г.</c:v>
                </c:pt>
                <c:pt idx="4">
                  <c:v>2012 г.</c:v>
                </c:pt>
                <c:pt idx="5">
                  <c:v>2013 г.</c:v>
                </c:pt>
                <c:pt idx="6">
                  <c:v>2014 г.</c:v>
                </c:pt>
                <c:pt idx="7">
                  <c:v>2015 г.</c:v>
                </c:pt>
                <c:pt idx="8">
                  <c:v>2016 г.</c:v>
                </c:pt>
                <c:pt idx="9">
                  <c:v>2017 г.</c:v>
                </c:pt>
              </c:strCache>
            </c:strRef>
          </c:cat>
          <c:val>
            <c:numRef>
              <c:f>Лист1!$B$21:$K$21</c:f>
              <c:numCache>
                <c:formatCode>General</c:formatCode>
                <c:ptCount val="10"/>
                <c:pt idx="0">
                  <c:v>0.42099999999999999</c:v>
                </c:pt>
                <c:pt idx="1">
                  <c:v>0.42099999999999999</c:v>
                </c:pt>
                <c:pt idx="2">
                  <c:v>0.42099999999999999</c:v>
                </c:pt>
                <c:pt idx="3">
                  <c:v>0.41699999999999998</c:v>
                </c:pt>
                <c:pt idx="4">
                  <c:v>0.42</c:v>
                </c:pt>
                <c:pt idx="5">
                  <c:v>0.41899999999999998</c:v>
                </c:pt>
                <c:pt idx="6">
                  <c:v>0.41599999999999998</c:v>
                </c:pt>
                <c:pt idx="7">
                  <c:v>0.41299999999999998</c:v>
                </c:pt>
                <c:pt idx="8">
                  <c:v>0.41199999999999998</c:v>
                </c:pt>
                <c:pt idx="9">
                  <c:v>0.41199999999999998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2427008"/>
        <c:axId val="72425472"/>
      </c:lineChart>
      <c:catAx>
        <c:axId val="166728448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>
            <a:solidFill>
              <a:schemeClr val="tx1">
                <a:lumMod val="85000"/>
                <a:lumOff val="15000"/>
              </a:schemeClr>
            </a:solidFill>
          </a:ln>
        </c:spPr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66729984"/>
        <c:crosses val="autoZero"/>
        <c:auto val="1"/>
        <c:lblAlgn val="ctr"/>
        <c:lblOffset val="100"/>
        <c:noMultiLvlLbl val="0"/>
      </c:catAx>
      <c:valAx>
        <c:axId val="166729984"/>
        <c:scaling>
          <c:orientation val="minMax"/>
          <c:max val="20"/>
          <c:min val="12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spPr>
          <a:ln>
            <a:solidFill>
              <a:schemeClr val="tx1">
                <a:lumMod val="85000"/>
                <a:lumOff val="15000"/>
              </a:schemeClr>
            </a:solidFill>
          </a:ln>
        </c:spPr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66728448"/>
        <c:crosses val="autoZero"/>
        <c:crossBetween val="between"/>
        <c:majorUnit val="2"/>
        <c:minorUnit val="1"/>
      </c:valAx>
      <c:valAx>
        <c:axId val="72425472"/>
        <c:scaling>
          <c:orientation val="minMax"/>
          <c:max val="0.45"/>
          <c:min val="0.4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ln>
            <a:solidFill>
              <a:schemeClr val="tx1">
                <a:lumMod val="85000"/>
                <a:lumOff val="15000"/>
              </a:schemeClr>
            </a:solidFill>
          </a:ln>
        </c:spPr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72427008"/>
        <c:crosses val="max"/>
        <c:crossBetween val="between"/>
        <c:majorUnit val="1.0000000000000002E-2"/>
        <c:minorUnit val="5.000000000000001E-3"/>
      </c:valAx>
      <c:catAx>
        <c:axId val="72427008"/>
        <c:scaling>
          <c:orientation val="minMax"/>
        </c:scaling>
        <c:delete val="1"/>
        <c:axPos val="b"/>
        <c:majorTickMark val="out"/>
        <c:minorTickMark val="none"/>
        <c:tickLblPos val="nextTo"/>
        <c:crossAx val="72425472"/>
        <c:crosses val="autoZero"/>
        <c:auto val="1"/>
        <c:lblAlgn val="ctr"/>
        <c:lblOffset val="100"/>
        <c:noMultiLvlLbl val="0"/>
      </c:catAx>
    </c:plotArea>
    <c:legend>
      <c:legendPos val="b"/>
      <c:layout>
        <c:manualLayout>
          <c:xMode val="edge"/>
          <c:yMode val="edge"/>
          <c:x val="1.1028586400430236E-2"/>
          <c:y val="0.88853762029746286"/>
          <c:w val="0.96860230474693287"/>
          <c:h val="9.4795713035870519E-2"/>
        </c:manualLayout>
      </c:layout>
      <c:overlay val="0"/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950BF-1435-4B33-8B57-C3EA00D59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2467</TotalTime>
  <Pages>6</Pages>
  <Words>2257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Галя В. Белехова</cp:lastModifiedBy>
  <cp:revision>86</cp:revision>
  <cp:lastPrinted>2018-09-13T06:49:00Z</cp:lastPrinted>
  <dcterms:created xsi:type="dcterms:W3CDTF">2018-09-09T09:45:00Z</dcterms:created>
  <dcterms:modified xsi:type="dcterms:W3CDTF">2019-03-28T10:13:00Z</dcterms:modified>
</cp:coreProperties>
</file>