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3F6A" w:rsidRPr="002B5902" w:rsidRDefault="00613F6A" w:rsidP="00613F6A">
      <w:pPr>
        <w:pStyle w:val="rvps26"/>
        <w:shd w:val="clear" w:color="auto" w:fill="FFFFFF"/>
        <w:spacing w:before="0" w:beforeAutospacing="0" w:after="150" w:afterAutospacing="0"/>
        <w:ind w:firstLine="540"/>
        <w:rPr>
          <w:rStyle w:val="rvts52"/>
          <w:b/>
          <w:bCs/>
        </w:rPr>
      </w:pPr>
      <w:bookmarkStart w:id="0" w:name="_GoBack"/>
      <w:bookmarkEnd w:id="0"/>
      <w:r w:rsidRPr="002B5902">
        <w:rPr>
          <w:rStyle w:val="rvts52"/>
          <w:b/>
          <w:bCs/>
        </w:rPr>
        <w:t xml:space="preserve">Индекс </w:t>
      </w:r>
      <w:r w:rsidR="002E15BC" w:rsidRPr="002B5902">
        <w:rPr>
          <w:rStyle w:val="rvts52"/>
          <w:b/>
          <w:bCs/>
        </w:rPr>
        <w:t>330.341.2</w:t>
      </w:r>
    </w:p>
    <w:p w:rsidR="00613F6A" w:rsidRPr="002B5902" w:rsidRDefault="00613F6A" w:rsidP="000820B9">
      <w:pPr>
        <w:pStyle w:val="rvps34"/>
        <w:shd w:val="clear" w:color="auto" w:fill="FFFFFF"/>
        <w:spacing w:before="0" w:beforeAutospacing="0" w:after="150" w:afterAutospacing="0"/>
        <w:ind w:firstLine="540"/>
        <w:jc w:val="right"/>
      </w:pPr>
      <w:r w:rsidRPr="002B5902">
        <w:rPr>
          <w:rStyle w:val="rvts52"/>
          <w:b/>
          <w:bCs/>
        </w:rPr>
        <w:t>Бессарабов В.О.</w:t>
      </w:r>
    </w:p>
    <w:p w:rsidR="00613F6A" w:rsidRDefault="002E15BC" w:rsidP="000820B9">
      <w:pPr>
        <w:pStyle w:val="rvps33"/>
        <w:shd w:val="clear" w:color="auto" w:fill="FFFFFF"/>
        <w:spacing w:before="0" w:beforeAutospacing="0" w:after="150" w:afterAutospacing="0"/>
        <w:ind w:firstLine="540"/>
        <w:jc w:val="center"/>
      </w:pPr>
      <w:r>
        <w:rPr>
          <w:rStyle w:val="rvts52"/>
          <w:b/>
          <w:bCs/>
        </w:rPr>
        <w:t>ИЕРАРХИЧЕСКАЯ СТРУКТУРА И СОДЕРЖАНИЕ ЭЛЕМЕНТОВ СОЦИАЛЬНОЙ ОТВЕТСТВЕННОСТИ БИЗНЕСА</w:t>
      </w:r>
    </w:p>
    <w:p w:rsidR="000820B9" w:rsidRDefault="000820B9" w:rsidP="000820B9">
      <w:pPr>
        <w:ind w:firstLine="709"/>
        <w:jc w:val="both"/>
        <w:rPr>
          <w:rFonts w:cs="Times New Roman"/>
          <w:i/>
          <w:sz w:val="24"/>
          <w:szCs w:val="24"/>
        </w:rPr>
      </w:pPr>
    </w:p>
    <w:p w:rsidR="002E15BC" w:rsidRDefault="002E15BC" w:rsidP="002E15BC">
      <w:pPr>
        <w:ind w:firstLine="709"/>
        <w:jc w:val="both"/>
        <w:rPr>
          <w:rFonts w:cs="Times New Roman"/>
          <w:i/>
          <w:sz w:val="24"/>
          <w:szCs w:val="24"/>
        </w:rPr>
      </w:pPr>
      <w:r w:rsidRPr="002E15BC">
        <w:rPr>
          <w:rFonts w:cs="Times New Roman"/>
          <w:i/>
          <w:sz w:val="24"/>
          <w:szCs w:val="24"/>
        </w:rPr>
        <w:t>В статье рассмотрена структура и иерархия элементов института социальной ответственности, в основе которой лежит совокупность норм, нацеленных на формирование предпринимательской среды, посредством развития корпоративных связей и отношений, направленных на согласование интересов заинтересованных сторон.</w:t>
      </w:r>
    </w:p>
    <w:p w:rsidR="000820B9" w:rsidRPr="002E15BC" w:rsidRDefault="002E15BC" w:rsidP="002E15BC">
      <w:pPr>
        <w:ind w:firstLine="709"/>
        <w:jc w:val="both"/>
        <w:rPr>
          <w:rFonts w:cs="Times New Roman"/>
          <w:i/>
          <w:sz w:val="24"/>
          <w:szCs w:val="24"/>
        </w:rPr>
      </w:pPr>
      <w:r>
        <w:rPr>
          <w:rFonts w:cs="Times New Roman"/>
          <w:i/>
          <w:sz w:val="24"/>
          <w:szCs w:val="24"/>
        </w:rPr>
        <w:t>С</w:t>
      </w:r>
      <w:r w:rsidRPr="002E15BC">
        <w:rPr>
          <w:rFonts w:cs="Times New Roman"/>
          <w:i/>
          <w:sz w:val="24"/>
          <w:szCs w:val="24"/>
        </w:rPr>
        <w:t>оциальная ответственность бизнеса, институт социальной ответственности бизнеса, предпринимательская среда</w:t>
      </w:r>
      <w:r w:rsidR="00322BDB">
        <w:rPr>
          <w:rFonts w:cs="Times New Roman"/>
          <w:i/>
          <w:sz w:val="24"/>
          <w:szCs w:val="24"/>
        </w:rPr>
        <w:t>.</w:t>
      </w:r>
    </w:p>
    <w:p w:rsidR="002E15BC" w:rsidRDefault="000B3FE0" w:rsidP="00613F6A">
      <w:pPr>
        <w:spacing w:line="360" w:lineRule="auto"/>
        <w:jc w:val="both"/>
        <w:rPr>
          <w:rFonts w:cs="Times New Roman"/>
          <w:sz w:val="24"/>
          <w:szCs w:val="24"/>
        </w:rPr>
      </w:pPr>
      <w:r w:rsidRPr="00613F6A">
        <w:rPr>
          <w:rFonts w:cs="Times New Roman"/>
          <w:sz w:val="24"/>
          <w:szCs w:val="24"/>
        </w:rPr>
        <w:tab/>
      </w:r>
    </w:p>
    <w:p w:rsidR="002E15BC" w:rsidRPr="002E15BC" w:rsidRDefault="002E15BC" w:rsidP="002E15BC">
      <w:pPr>
        <w:spacing w:line="360" w:lineRule="auto"/>
        <w:ind w:firstLine="709"/>
        <w:jc w:val="both"/>
        <w:rPr>
          <w:sz w:val="24"/>
          <w:szCs w:val="24"/>
        </w:rPr>
      </w:pPr>
      <w:r w:rsidRPr="002E15BC">
        <w:rPr>
          <w:rFonts w:cs="Times New Roman"/>
          <w:sz w:val="24"/>
          <w:szCs w:val="24"/>
        </w:rPr>
        <w:t>Современные тенденции развития социально ориентированной экономики, поиск новых подходов к ведению предпринимательской деятельности и методов принятия социально ориентированных управленческих решений характеризуются существенными изменениями в социальной и экономической сферах деятельности субъектов хозяйствования. Управленческие решения, направленные на снижение социальной напряженности, улучшение качества жизни населения, защиту окружающей среды, участие в преодолении социальных проблем приобретают особую актуальность. Все это свидетельствует о росте значимости социальной ответственности при формировании стратегических интересов бизнеса.</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 xml:space="preserve">Тем не менее до сих пор не существует единого общепринятого определения социальной ответственности бизнеса (несмотря на значительное количество работ, среди которых можно выделить исследования Акимовой И.М., Грековой Г.И., Колота А.М., Корсунова А.С., Петрова М.А., Ткаченко Н.В., Туркина С.В., Фролова Д.П., Шихвердиева А.П.), так как ученые, международные организации, отечественные компании характеризуют данное явление с разных сторон: с точки зрения этического поведения, устойчивого развития, окружающей среды и т.п. </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 xml:space="preserve">Правомерно утверждать, что отсутствие единого мнения в трактовании сущности социальной ответственности бизнеса обуславливает необходимость формирования подхода, который бы гармонично объединял экономическую и социальную компоненту в реализации цели ведения бизнеса, отражал бы те связи и отношения,  которые  характерны предпринимательской среде.  </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Речь идет об институциональном подходе, который характеризуется как направление социально-экономических исследований, рассматривающих развитие общества посредством объединения граждан, формирования институтов. Вышесказанное обуславливает цель статьи, которая заключается в изучении роли института социальной ответственности бизнеса в развитии предпринимательской среды.</w:t>
      </w:r>
    </w:p>
    <w:p w:rsidR="002E15BC" w:rsidRPr="002E15BC" w:rsidRDefault="002E15BC" w:rsidP="002E15BC">
      <w:pPr>
        <w:spacing w:line="360" w:lineRule="auto"/>
        <w:ind w:firstLine="709"/>
        <w:jc w:val="both"/>
        <w:rPr>
          <w:b/>
          <w:sz w:val="24"/>
          <w:szCs w:val="24"/>
          <w:lang w:eastAsia="ru-RU"/>
        </w:rPr>
      </w:pPr>
      <w:r w:rsidRPr="002E15BC">
        <w:rPr>
          <w:rFonts w:cs="Times New Roman"/>
          <w:sz w:val="24"/>
          <w:szCs w:val="24"/>
        </w:rPr>
        <w:lastRenderedPageBreak/>
        <w:t xml:space="preserve">Не вдаваясь в критические размышления по поводу трактовок «предпринимательская среда», на основе анализа работ Ильина А.В. [1], Левушкиной С.В. [2], Лоншаковой А. Н. [3],  отметим, что корпоративная  предпринимательская  среда включает в себя всю совокупность  корпоративных связей и отношений, которые  характерны  предпринимательской  деятельности (на всех этапах ее исторического развития). </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 xml:space="preserve">Логика достижения цели представленного исследования требует последовательного рассмотрения именно категории «институт», «экономический институт», «социальный институт». Здесь стоит отметить, что отдельному изучению исследуемой проблематике наше внимание уже было уделено, и нашло свое отражение в монографии [4]. Исходя из результатов данного исследования, следует полагать, что роль института социальной ответственности бизнеса в развитии предпринимательской среды необходимо рассматривать через призму структурных элементов одноименного института. </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 xml:space="preserve">К структурным элементам института социальной ответственности относятся: совокупность формальных и неформальных норм, совокупность ролей и статусов субъектов, совокупность организаций, структурирующих взаимоотношения в институте, и комплекс социальных действий.  </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Схематично иерархия структурных элементов института социальной ответственности бизнеса изображена на рисунке 1.</w:t>
      </w:r>
    </w:p>
    <w:p w:rsidR="002E15BC" w:rsidRDefault="002E15BC" w:rsidP="002E15BC">
      <w:pPr>
        <w:jc w:val="both"/>
        <w:rPr>
          <w:color w:val="000000"/>
          <w:szCs w:val="28"/>
        </w:rPr>
      </w:pPr>
      <w:r>
        <w:rPr>
          <w:noProof/>
          <w:lang w:eastAsia="ru-RU"/>
        </w:rPr>
        <mc:AlternateContent>
          <mc:Choice Requires="wpg">
            <w:drawing>
              <wp:anchor distT="0" distB="0" distL="114300" distR="114300" simplePos="0" relativeHeight="251658240" behindDoc="1" locked="0" layoutInCell="1" allowOverlap="1" wp14:anchorId="62B454C2" wp14:editId="3B247496">
                <wp:simplePos x="0" y="0"/>
                <wp:positionH relativeFrom="column">
                  <wp:posOffset>194310</wp:posOffset>
                </wp:positionH>
                <wp:positionV relativeFrom="paragraph">
                  <wp:posOffset>15875</wp:posOffset>
                </wp:positionV>
                <wp:extent cx="5691505" cy="2705100"/>
                <wp:effectExtent l="19050" t="19050" r="23495" b="19050"/>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91505" cy="2705100"/>
                          <a:chOff x="750" y="7081"/>
                          <a:chExt cx="9923" cy="4155"/>
                        </a:xfrm>
                      </wpg:grpSpPr>
                      <wps:wsp>
                        <wps:cNvPr id="2" name="Скругленный прямоугольник 227"/>
                        <wps:cNvSpPr>
                          <a:spLocks noChangeArrowheads="1"/>
                        </wps:cNvSpPr>
                        <wps:spPr bwMode="auto">
                          <a:xfrm>
                            <a:off x="5379" y="9391"/>
                            <a:ext cx="5294" cy="720"/>
                          </a:xfrm>
                          <a:prstGeom prst="roundRect">
                            <a:avLst>
                              <a:gd name="adj" fmla="val 16667"/>
                            </a:avLst>
                          </a:prstGeom>
                          <a:solidFill>
                            <a:srgbClr val="FFFFFF"/>
                          </a:solidFill>
                          <a:ln w="3175">
                            <a:solidFill>
                              <a:srgbClr val="000000"/>
                            </a:solidFill>
                            <a:round/>
                            <a:headEnd/>
                            <a:tailEnd/>
                          </a:ln>
                        </wps:spPr>
                        <wps:txbx>
                          <w:txbxContent>
                            <w:p w:rsidR="002E15BC" w:rsidRPr="002E15BC" w:rsidRDefault="002E15BC" w:rsidP="002E15BC">
                              <w:pPr>
                                <w:jc w:val="center"/>
                                <w:rPr>
                                  <w:rFonts w:cs="Times New Roman"/>
                                  <w:sz w:val="24"/>
                                  <w:szCs w:val="24"/>
                                </w:rPr>
                              </w:pPr>
                              <w:r w:rsidRPr="002E15BC">
                                <w:rPr>
                                  <w:rFonts w:cs="Times New Roman"/>
                                  <w:sz w:val="24"/>
                                  <w:szCs w:val="24"/>
                                </w:rPr>
                                <w:t xml:space="preserve">Совокупность ролей </w:t>
                              </w:r>
                              <w:r w:rsidRPr="002E15BC">
                                <w:rPr>
                                  <w:rFonts w:cs="Times New Roman"/>
                                  <w:sz w:val="24"/>
                                  <w:szCs w:val="24"/>
                                  <w:lang w:val="en-US"/>
                                </w:rPr>
                                <w:t xml:space="preserve"> </w:t>
                              </w:r>
                              <w:r w:rsidRPr="002E15BC">
                                <w:rPr>
                                  <w:rFonts w:cs="Times New Roman"/>
                                  <w:sz w:val="24"/>
                                  <w:szCs w:val="24"/>
                                </w:rPr>
                                <w:t>и статусов субъектов</w:t>
                              </w:r>
                            </w:p>
                          </w:txbxContent>
                        </wps:txbx>
                        <wps:bodyPr rot="0" vert="horz" wrap="square" lIns="91440" tIns="45720" rIns="91440" bIns="45720" anchor="ctr" anchorCtr="0" upright="1">
                          <a:noAutofit/>
                        </wps:bodyPr>
                      </wps:wsp>
                      <wps:wsp>
                        <wps:cNvPr id="3" name="Скругленный прямоугольник 234"/>
                        <wps:cNvSpPr>
                          <a:spLocks noChangeArrowheads="1"/>
                        </wps:cNvSpPr>
                        <wps:spPr bwMode="auto">
                          <a:xfrm>
                            <a:off x="6048" y="10471"/>
                            <a:ext cx="4625" cy="765"/>
                          </a:xfrm>
                          <a:prstGeom prst="roundRect">
                            <a:avLst>
                              <a:gd name="adj" fmla="val 16667"/>
                            </a:avLst>
                          </a:prstGeom>
                          <a:solidFill>
                            <a:srgbClr val="FFFFFF"/>
                          </a:solidFill>
                          <a:ln w="3175">
                            <a:solidFill>
                              <a:srgbClr val="000000"/>
                            </a:solidFill>
                            <a:round/>
                            <a:headEnd/>
                            <a:tailEnd/>
                          </a:ln>
                        </wps:spPr>
                        <wps:txbx>
                          <w:txbxContent>
                            <w:p w:rsidR="002E15BC" w:rsidRPr="002E15BC" w:rsidRDefault="002E15BC" w:rsidP="002E15BC">
                              <w:pPr>
                                <w:jc w:val="center"/>
                                <w:rPr>
                                  <w:rFonts w:cs="Times New Roman"/>
                                  <w:sz w:val="24"/>
                                  <w:szCs w:val="24"/>
                                </w:rPr>
                              </w:pPr>
                              <w:r w:rsidRPr="002E15BC">
                                <w:rPr>
                                  <w:rFonts w:cs="Times New Roman"/>
                                  <w:sz w:val="24"/>
                                  <w:szCs w:val="24"/>
                                </w:rPr>
                                <w:t>Совокупность формальных и неформальных норм</w:t>
                              </w:r>
                            </w:p>
                            <w:p w:rsidR="002E15BC" w:rsidRPr="002E15BC" w:rsidRDefault="002E15BC" w:rsidP="002E15BC">
                              <w:pPr>
                                <w:jc w:val="center"/>
                                <w:rPr>
                                  <w:rFonts w:cs="Times New Roman"/>
                                  <w:sz w:val="24"/>
                                  <w:szCs w:val="24"/>
                                </w:rPr>
                              </w:pPr>
                            </w:p>
                            <w:p w:rsidR="002E15BC" w:rsidRPr="002E15BC" w:rsidRDefault="002E15BC" w:rsidP="002E15BC">
                              <w:pPr>
                                <w:jc w:val="center"/>
                                <w:rPr>
                                  <w:rFonts w:cs="Times New Roman"/>
                                  <w:sz w:val="24"/>
                                  <w:szCs w:val="24"/>
                                </w:rPr>
                              </w:pPr>
                            </w:p>
                          </w:txbxContent>
                        </wps:txbx>
                        <wps:bodyPr rot="0" vert="horz" wrap="square" lIns="91440" tIns="45720" rIns="91440" bIns="45720" anchor="ctr" anchorCtr="0" upright="1">
                          <a:noAutofit/>
                        </wps:bodyPr>
                      </wps:wsp>
                      <wps:wsp>
                        <wps:cNvPr id="4" name="Скругленный прямоугольник 236"/>
                        <wps:cNvSpPr>
                          <a:spLocks noChangeArrowheads="1"/>
                        </wps:cNvSpPr>
                        <wps:spPr bwMode="auto">
                          <a:xfrm>
                            <a:off x="4038" y="7081"/>
                            <a:ext cx="6635" cy="720"/>
                          </a:xfrm>
                          <a:prstGeom prst="roundRect">
                            <a:avLst>
                              <a:gd name="adj" fmla="val 16667"/>
                            </a:avLst>
                          </a:prstGeom>
                          <a:solidFill>
                            <a:srgbClr val="FFFFFF"/>
                          </a:solidFill>
                          <a:ln w="3175">
                            <a:solidFill>
                              <a:srgbClr val="000000"/>
                            </a:solidFill>
                            <a:round/>
                            <a:headEnd/>
                            <a:tailEnd/>
                          </a:ln>
                        </wps:spPr>
                        <wps:txbx>
                          <w:txbxContent>
                            <w:p w:rsidR="002E15BC" w:rsidRPr="002E15BC" w:rsidRDefault="002E15BC" w:rsidP="002E15BC">
                              <w:pPr>
                                <w:jc w:val="center"/>
                                <w:rPr>
                                  <w:rFonts w:cs="Times New Roman"/>
                                  <w:sz w:val="24"/>
                                  <w:szCs w:val="24"/>
                                </w:rPr>
                              </w:pPr>
                              <w:r w:rsidRPr="002E15BC">
                                <w:rPr>
                                  <w:rFonts w:cs="Times New Roman"/>
                                  <w:sz w:val="24"/>
                                  <w:szCs w:val="24"/>
                                </w:rPr>
                                <w:t xml:space="preserve">Комплекс </w:t>
                              </w:r>
                              <w:r w:rsidRPr="002E15BC">
                                <w:rPr>
                                  <w:rFonts w:cs="Times New Roman"/>
                                  <w:sz w:val="24"/>
                                  <w:szCs w:val="24"/>
                                  <w:lang w:val="en-US"/>
                                </w:rPr>
                                <w:t xml:space="preserve"> </w:t>
                              </w:r>
                              <w:r w:rsidRPr="002E15BC">
                                <w:rPr>
                                  <w:rFonts w:cs="Times New Roman"/>
                                  <w:sz w:val="24"/>
                                  <w:szCs w:val="24"/>
                                </w:rPr>
                                <w:t>социальных действий</w:t>
                              </w:r>
                            </w:p>
                            <w:p w:rsidR="002E15BC" w:rsidRPr="002E15BC" w:rsidRDefault="002E15BC" w:rsidP="002E15BC">
                              <w:pPr>
                                <w:jc w:val="center"/>
                                <w:rPr>
                                  <w:rFonts w:cs="Times New Roman"/>
                                  <w:sz w:val="24"/>
                                  <w:szCs w:val="24"/>
                                </w:rPr>
                              </w:pPr>
                            </w:p>
                          </w:txbxContent>
                        </wps:txbx>
                        <wps:bodyPr rot="0" vert="horz" wrap="square" lIns="91440" tIns="45720" rIns="91440" bIns="45720" anchor="ctr" anchorCtr="0" upright="1">
                          <a:noAutofit/>
                        </wps:bodyPr>
                      </wps:wsp>
                      <wps:wsp>
                        <wps:cNvPr id="5" name="Скругленный прямоугольник 238"/>
                        <wps:cNvSpPr>
                          <a:spLocks noChangeArrowheads="1"/>
                        </wps:cNvSpPr>
                        <wps:spPr bwMode="auto">
                          <a:xfrm>
                            <a:off x="4769" y="8101"/>
                            <a:ext cx="5904" cy="975"/>
                          </a:xfrm>
                          <a:prstGeom prst="roundRect">
                            <a:avLst>
                              <a:gd name="adj" fmla="val 16667"/>
                            </a:avLst>
                          </a:prstGeom>
                          <a:solidFill>
                            <a:srgbClr val="FFFFFF"/>
                          </a:solidFill>
                          <a:ln w="3175">
                            <a:solidFill>
                              <a:srgbClr val="000000"/>
                            </a:solidFill>
                            <a:round/>
                            <a:headEnd/>
                            <a:tailEnd/>
                          </a:ln>
                        </wps:spPr>
                        <wps:txbx>
                          <w:txbxContent>
                            <w:p w:rsidR="002E15BC" w:rsidRPr="002E15BC" w:rsidRDefault="002E15BC" w:rsidP="002E15BC">
                              <w:pPr>
                                <w:jc w:val="center"/>
                                <w:rPr>
                                  <w:rFonts w:cs="Times New Roman"/>
                                  <w:sz w:val="24"/>
                                  <w:szCs w:val="24"/>
                                </w:rPr>
                              </w:pPr>
                              <w:r w:rsidRPr="002E15BC">
                                <w:rPr>
                                  <w:rFonts w:cs="Times New Roman"/>
                                  <w:sz w:val="24"/>
                                  <w:szCs w:val="24"/>
                                </w:rPr>
                                <w:t xml:space="preserve">Совокупность организаций, структурирующих взаимоотношения в институте </w:t>
                              </w:r>
                            </w:p>
                            <w:p w:rsidR="002E15BC" w:rsidRPr="002E15BC" w:rsidRDefault="002E15BC" w:rsidP="002E15BC">
                              <w:pPr>
                                <w:jc w:val="center"/>
                                <w:rPr>
                                  <w:rFonts w:cs="Times New Roman"/>
                                  <w:sz w:val="24"/>
                                  <w:szCs w:val="24"/>
                                </w:rPr>
                              </w:pPr>
                            </w:p>
                            <w:p w:rsidR="002E15BC" w:rsidRPr="002E15BC" w:rsidRDefault="002E15BC" w:rsidP="002E15BC">
                              <w:pPr>
                                <w:jc w:val="center"/>
                                <w:rPr>
                                  <w:rFonts w:cs="Times New Roman"/>
                                  <w:sz w:val="24"/>
                                  <w:szCs w:val="24"/>
                                </w:rPr>
                              </w:pPr>
                            </w:p>
                          </w:txbxContent>
                        </wps:txbx>
                        <wps:bodyPr rot="0" vert="horz" wrap="square" lIns="91440" tIns="45720" rIns="91440" bIns="45720" anchor="ctr" anchorCtr="0" upright="1">
                          <a:noAutofit/>
                        </wps:bodyPr>
                      </wps:wsp>
                      <wps:wsp>
                        <wps:cNvPr id="6" name="Блок-схема: извлечение 239"/>
                        <wps:cNvSpPr>
                          <a:spLocks noChangeArrowheads="1"/>
                        </wps:cNvSpPr>
                        <wps:spPr bwMode="auto">
                          <a:xfrm>
                            <a:off x="750" y="7081"/>
                            <a:ext cx="5201" cy="4155"/>
                          </a:xfrm>
                          <a:prstGeom prst="flowChartExtract">
                            <a:avLst/>
                          </a:prstGeom>
                          <a:solidFill>
                            <a:srgbClr val="FFFFFF"/>
                          </a:solidFill>
                          <a:ln w="9525">
                            <a:solidFill>
                              <a:srgbClr val="000000"/>
                            </a:solidFill>
                            <a:miter lim="800000"/>
                            <a:headEnd/>
                            <a:tailEnd/>
                          </a:ln>
                        </wps:spPr>
                        <wps:txbx>
                          <w:txbxContent>
                            <w:p w:rsidR="002E15BC" w:rsidRPr="002E15BC" w:rsidRDefault="002E15BC" w:rsidP="002E15BC">
                              <w:pPr>
                                <w:jc w:val="center"/>
                                <w:rPr>
                                  <w:rFonts w:cs="Times New Roman"/>
                                  <w:sz w:val="24"/>
                                  <w:szCs w:val="24"/>
                                </w:rPr>
                              </w:pPr>
                              <w:r w:rsidRPr="002E15BC">
                                <w:rPr>
                                  <w:rFonts w:cs="Times New Roman"/>
                                  <w:sz w:val="24"/>
                                  <w:szCs w:val="24"/>
                                </w:rPr>
                                <w:t xml:space="preserve">Институт </w:t>
                              </w:r>
                            </w:p>
                            <w:p w:rsidR="002E15BC" w:rsidRPr="002E15BC" w:rsidRDefault="002E15BC" w:rsidP="002E15BC">
                              <w:pPr>
                                <w:jc w:val="center"/>
                                <w:rPr>
                                  <w:rFonts w:cs="Times New Roman"/>
                                  <w:sz w:val="24"/>
                                  <w:szCs w:val="24"/>
                                </w:rPr>
                              </w:pPr>
                              <w:r w:rsidRPr="002E15BC">
                                <w:rPr>
                                  <w:rFonts w:cs="Times New Roman"/>
                                  <w:sz w:val="24"/>
                                  <w:szCs w:val="24"/>
                                </w:rPr>
                                <w:t>социальной ответственности бизнеса</w:t>
                              </w:r>
                            </w:p>
                            <w:p w:rsidR="002E15BC" w:rsidRPr="002E15BC" w:rsidRDefault="002E15BC" w:rsidP="002E15BC">
                              <w:pPr>
                                <w:jc w:val="center"/>
                                <w:rPr>
                                  <w:rFonts w:cs="Times New Roman"/>
                                  <w:sz w:val="24"/>
                                  <w:szCs w:val="24"/>
                                </w:rPr>
                              </w:pPr>
                            </w:p>
                          </w:txbxContent>
                        </wps:txbx>
                        <wps:bodyPr rot="0" vert="horz" wrap="square" lIns="91440" tIns="45720" rIns="91440" bIns="45720" anchor="ctr" anchorCtr="0" upright="1">
                          <a:noAutofit/>
                        </wps:bodyPr>
                      </wps:wsp>
                      <wps:wsp>
                        <wps:cNvPr id="7" name="Прямая соединительная линия 241"/>
                        <wps:cNvCnPr>
                          <a:cxnSpLocks noChangeShapeType="1"/>
                        </wps:cNvCnPr>
                        <wps:spPr bwMode="auto">
                          <a:xfrm>
                            <a:off x="5379" y="10291"/>
                            <a:ext cx="5294" cy="0"/>
                          </a:xfrm>
                          <a:prstGeom prst="line">
                            <a:avLst/>
                          </a:prstGeom>
                          <a:noFill/>
                          <a:ln w="190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 name="Прямая соединительная линия 243"/>
                        <wps:cNvCnPr>
                          <a:cxnSpLocks noChangeShapeType="1"/>
                        </wps:cNvCnPr>
                        <wps:spPr bwMode="auto">
                          <a:xfrm>
                            <a:off x="4668" y="9226"/>
                            <a:ext cx="6005" cy="0"/>
                          </a:xfrm>
                          <a:prstGeom prst="line">
                            <a:avLst/>
                          </a:prstGeom>
                          <a:noFill/>
                          <a:ln w="19050">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9" name="Прямая соединительная линия 244"/>
                        <wps:cNvCnPr>
                          <a:cxnSpLocks noChangeShapeType="1"/>
                        </wps:cNvCnPr>
                        <wps:spPr bwMode="auto">
                          <a:xfrm>
                            <a:off x="3945" y="7981"/>
                            <a:ext cx="6653" cy="0"/>
                          </a:xfrm>
                          <a:prstGeom prst="line">
                            <a:avLst/>
                          </a:prstGeom>
                          <a:noFill/>
                          <a:ln w="19050">
                            <a:solidFill>
                              <a:srgbClr val="000000"/>
                            </a:solidFill>
                            <a:prstDash val="dash"/>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2B454C2" id="Группа 1" o:spid="_x0000_s1026" style="position:absolute;left:0;text-align:left;margin-left:15.3pt;margin-top:1.25pt;width:448.15pt;height:213pt;z-index:-251658240" coordorigin="750,7081" coordsize="9923,4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">
                <v:roundrect id="Скругленный прямоугольник 227" o:spid="_x0000_s1027" style="position:absolute;left:5379;top:9391;width:5294;height:7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PzfcAA&#10;AADaAAAADwAAAGRycy9kb3ducmV2LnhtbESP0YrCMBRE3xf8h3AF39Z0q6zSNYoogvpm9QMuzd2m&#10;bHNTkqj1740g7OMwM2eYxaq3rbiRD41jBV/jDARx5XTDtYLLefc5BxEissbWMSl4UIDVcvCxwEK7&#10;O5/oVsZaJAiHAhWYGLtCylAZshjGriNO3q/zFmOSvpba4z3BbSvzLPuWFhtOCwY72hiq/sqrVeDD&#10;Lmx0uz3n69mxnDYTfTCHqNRo2K9/QETq43/43d5rBTm8rqQbIJ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dPzfcAAAADaAAAADwAAAAAAAAAAAAAAAACYAgAAZHJzL2Rvd25y&#10;ZXYueG1sUEsFBgAAAAAEAAQA9QAAAIUDAAAAAA==&#10;" strokeweight=".25pt">
                  <v:textbox>
                    <w:txbxContent>
                      <w:p w:rsidR="002E15BC" w:rsidRPr="002E15BC" w:rsidRDefault="002E15BC" w:rsidP="002E15BC">
                        <w:pPr>
                          <w:jc w:val="center"/>
                          <w:rPr>
                            <w:rFonts w:cs="Times New Roman"/>
                            <w:sz w:val="24"/>
                            <w:szCs w:val="24"/>
                          </w:rPr>
                        </w:pPr>
                        <w:r w:rsidRPr="002E15BC">
                          <w:rPr>
                            <w:rFonts w:cs="Times New Roman"/>
                            <w:sz w:val="24"/>
                            <w:szCs w:val="24"/>
                          </w:rPr>
                          <w:t xml:space="preserve">Совокупность ролей </w:t>
                        </w:r>
                        <w:r w:rsidRPr="002E15BC">
                          <w:rPr>
                            <w:rFonts w:cs="Times New Roman"/>
                            <w:sz w:val="24"/>
                            <w:szCs w:val="24"/>
                            <w:lang w:val="en-US"/>
                          </w:rPr>
                          <w:t xml:space="preserve"> </w:t>
                        </w:r>
                        <w:r w:rsidRPr="002E15BC">
                          <w:rPr>
                            <w:rFonts w:cs="Times New Roman"/>
                            <w:sz w:val="24"/>
                            <w:szCs w:val="24"/>
                          </w:rPr>
                          <w:t>и статусов субъектов</w:t>
                        </w:r>
                      </w:p>
                    </w:txbxContent>
                  </v:textbox>
                </v:roundrect>
                <v:roundrect id="Скругленный прямоугольник 234" o:spid="_x0000_s1028" style="position:absolute;left:6048;top:10471;width:4625;height:76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9W5sAA&#10;AADaAAAADwAAAGRycy9kb3ducmV2LnhtbESP0YrCMBRE34X9h3AXfNN0VdylGkUUQX2z3Q+4NHeb&#10;YnNTkqzWvzeC4OMwM2eY5bq3rbiSD41jBV/jDARx5XTDtYLfcj/6AREissbWMSm4U4D16mOwxFy7&#10;G5/pWsRaJAiHHBWYGLtcylAZshjGriNO3p/zFmOSvpba4y3BbSsnWTaXFhtOCwY72hqqLsW/VeDD&#10;Pmx1uysnm+9TMWum+miOUanhZ79ZgIjUx3f41T5oBVN4Xkk3QK4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p9W5sAAAADaAAAADwAAAAAAAAAAAAAAAACYAgAAZHJzL2Rvd25y&#10;ZXYueG1sUEsFBgAAAAAEAAQA9QAAAIUDAAAAAA==&#10;" strokeweight=".25pt">
                  <v:textbox>
                    <w:txbxContent>
                      <w:p w:rsidR="002E15BC" w:rsidRPr="002E15BC" w:rsidRDefault="002E15BC" w:rsidP="002E15BC">
                        <w:pPr>
                          <w:jc w:val="center"/>
                          <w:rPr>
                            <w:rFonts w:cs="Times New Roman"/>
                            <w:sz w:val="24"/>
                            <w:szCs w:val="24"/>
                          </w:rPr>
                        </w:pPr>
                        <w:r w:rsidRPr="002E15BC">
                          <w:rPr>
                            <w:rFonts w:cs="Times New Roman"/>
                            <w:sz w:val="24"/>
                            <w:szCs w:val="24"/>
                          </w:rPr>
                          <w:t>Совокупность формальных и неформальных норм</w:t>
                        </w:r>
                      </w:p>
                      <w:p w:rsidR="002E15BC" w:rsidRPr="002E15BC" w:rsidRDefault="002E15BC" w:rsidP="002E15BC">
                        <w:pPr>
                          <w:jc w:val="center"/>
                          <w:rPr>
                            <w:rFonts w:cs="Times New Roman"/>
                            <w:sz w:val="24"/>
                            <w:szCs w:val="24"/>
                          </w:rPr>
                        </w:pPr>
                      </w:p>
                      <w:p w:rsidR="002E15BC" w:rsidRPr="002E15BC" w:rsidRDefault="002E15BC" w:rsidP="002E15BC">
                        <w:pPr>
                          <w:jc w:val="center"/>
                          <w:rPr>
                            <w:rFonts w:cs="Times New Roman"/>
                            <w:sz w:val="24"/>
                            <w:szCs w:val="24"/>
                          </w:rPr>
                        </w:pPr>
                      </w:p>
                    </w:txbxContent>
                  </v:textbox>
                </v:roundrect>
                <v:roundrect id="Скругленный прямоугольник 236" o:spid="_x0000_s1029" style="position:absolute;left:4038;top:7081;width:6635;height:7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bOksAA&#10;AADaAAAADwAAAGRycy9kb3ducmV2LnhtbESP0YrCMBRE34X9h3AX9k3TVVGpRhFF0H3b1g+4NNem&#10;2NyUJKvdvzeC4OMwM2eY1aa3rbiRD41jBd+jDARx5XTDtYJzeRguQISIrLF1TAr+KcBm/TFYYa7d&#10;nX/pVsRaJAiHHBWYGLtcylAZshhGriNO3sV5izFJX0vt8Z7gtpXjLJtJiw2nBYMd7QxV1+LPKvDh&#10;EHa63Zfj7fynmDYTfTKnqNTXZ79dgojUx3f41T5qBVN4Xkk3QK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XbOksAAAADaAAAADwAAAAAAAAAAAAAAAACYAgAAZHJzL2Rvd25y&#10;ZXYueG1sUEsFBgAAAAAEAAQA9QAAAIUDAAAAAA==&#10;" strokeweight=".25pt">
                  <v:textbox>
                    <w:txbxContent>
                      <w:p w:rsidR="002E15BC" w:rsidRPr="002E15BC" w:rsidRDefault="002E15BC" w:rsidP="002E15BC">
                        <w:pPr>
                          <w:jc w:val="center"/>
                          <w:rPr>
                            <w:rFonts w:cs="Times New Roman"/>
                            <w:sz w:val="24"/>
                            <w:szCs w:val="24"/>
                          </w:rPr>
                        </w:pPr>
                        <w:r w:rsidRPr="002E15BC">
                          <w:rPr>
                            <w:rFonts w:cs="Times New Roman"/>
                            <w:sz w:val="24"/>
                            <w:szCs w:val="24"/>
                          </w:rPr>
                          <w:t xml:space="preserve">Комплекс </w:t>
                        </w:r>
                        <w:r w:rsidRPr="002E15BC">
                          <w:rPr>
                            <w:rFonts w:cs="Times New Roman"/>
                            <w:sz w:val="24"/>
                            <w:szCs w:val="24"/>
                            <w:lang w:val="en-US"/>
                          </w:rPr>
                          <w:t xml:space="preserve"> </w:t>
                        </w:r>
                        <w:r w:rsidRPr="002E15BC">
                          <w:rPr>
                            <w:rFonts w:cs="Times New Roman"/>
                            <w:sz w:val="24"/>
                            <w:szCs w:val="24"/>
                          </w:rPr>
                          <w:t>социальных действий</w:t>
                        </w:r>
                      </w:p>
                      <w:p w:rsidR="002E15BC" w:rsidRPr="002E15BC" w:rsidRDefault="002E15BC" w:rsidP="002E15BC">
                        <w:pPr>
                          <w:jc w:val="center"/>
                          <w:rPr>
                            <w:rFonts w:cs="Times New Roman"/>
                            <w:sz w:val="24"/>
                            <w:szCs w:val="24"/>
                          </w:rPr>
                        </w:pPr>
                      </w:p>
                    </w:txbxContent>
                  </v:textbox>
                </v:roundrect>
                <v:roundrect id="Скругленный прямоугольник 238" o:spid="_x0000_s1030" style="position:absolute;left:4769;top:8101;width:5904;height:97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prCcIA&#10;AADaAAAADwAAAGRycy9kb3ducmV2LnhtbESPzWrDMBCE74W+g9hAbo0c9yfBiRKCS6DprU4eYLE2&#10;lom1MpJqO29fFQo9DjPzDbPdT7YTA/nQOlawXGQgiGunW24UXM7HpzWIEJE1do5JwZ0C7HePD1ss&#10;tBv5i4YqNiJBOBSowMTYF1KG2pDFsHA9cfKuzluMSfpGao9jgttO5ln2Ji22nBYM9lQaqm/Vt1Xg&#10;wzGUuns/54fVZ/XSPuuTOUWl5rPpsAERaYr/4b/2h1bwCr9X0g2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OmsJwgAAANoAAAAPAAAAAAAAAAAAAAAAAJgCAABkcnMvZG93&#10;bnJldi54bWxQSwUGAAAAAAQABAD1AAAAhwMAAAAA&#10;" strokeweight=".25pt">
                  <v:textbox>
                    <w:txbxContent>
                      <w:p w:rsidR="002E15BC" w:rsidRPr="002E15BC" w:rsidRDefault="002E15BC" w:rsidP="002E15BC">
                        <w:pPr>
                          <w:jc w:val="center"/>
                          <w:rPr>
                            <w:rFonts w:cs="Times New Roman"/>
                            <w:sz w:val="24"/>
                            <w:szCs w:val="24"/>
                          </w:rPr>
                        </w:pPr>
                        <w:r w:rsidRPr="002E15BC">
                          <w:rPr>
                            <w:rFonts w:cs="Times New Roman"/>
                            <w:sz w:val="24"/>
                            <w:szCs w:val="24"/>
                          </w:rPr>
                          <w:t xml:space="preserve">Совокупность организаций, структурирующих взаимоотношения в институте </w:t>
                        </w:r>
                      </w:p>
                      <w:p w:rsidR="002E15BC" w:rsidRPr="002E15BC" w:rsidRDefault="002E15BC" w:rsidP="002E15BC">
                        <w:pPr>
                          <w:jc w:val="center"/>
                          <w:rPr>
                            <w:rFonts w:cs="Times New Roman"/>
                            <w:sz w:val="24"/>
                            <w:szCs w:val="24"/>
                          </w:rPr>
                        </w:pPr>
                      </w:p>
                      <w:p w:rsidR="002E15BC" w:rsidRPr="002E15BC" w:rsidRDefault="002E15BC" w:rsidP="002E15BC">
                        <w:pPr>
                          <w:jc w:val="center"/>
                          <w:rPr>
                            <w:rFonts w:cs="Times New Roman"/>
                            <w:sz w:val="24"/>
                            <w:szCs w:val="24"/>
                          </w:rPr>
                        </w:pPr>
                      </w:p>
                    </w:txbxContent>
                  </v:textbox>
                </v:roundrect>
                <v:shapetype id="_x0000_t127" coordsize="21600,21600" o:spt="127" path="m10800,l21600,21600,,21600xe">
                  <v:stroke joinstyle="miter"/>
                  <v:path gradientshapeok="t" o:connecttype="custom" o:connectlocs="10800,0;5400,10800;10800,21600;16200,10800" textboxrect="5400,10800,16200,21600"/>
                </v:shapetype>
                <v:shape id="Блок-схема: извлечение 239" o:spid="_x0000_s1031" type="#_x0000_t127" style="position:absolute;left:750;top:7081;width:5201;height:41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1OI8QA&#10;AADaAAAADwAAAGRycy9kb3ducmV2LnhtbESPQWsCMRSE70L/Q3iF3jSpVJGtUVpF8FCkbvfS22Pz&#10;ml26eVk2cV37641Q8DjMzDfMcj24RvTUhdqzhueJAkFcelOz1VB87cYLECEiG2w8k4YLBVivHkZL&#10;zIw/85H6PFqRIBwy1FDF2GZShrIih2HiW+Lk/fjOYUyys9J0eE5w18ipUnPpsOa0UGFLm4rK3/zk&#10;NLjDdjt7l1aF3n4WLx9H9S3/Cq2fHoe3VxCRhngP/7f3RsMcblfSDZCr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NTiPEAAAA2gAAAA8AAAAAAAAAAAAAAAAAmAIAAGRycy9k&#10;b3ducmV2LnhtbFBLBQYAAAAABAAEAPUAAACJAwAAAAA=&#10;">
                  <v:textbox>
                    <w:txbxContent>
                      <w:p w:rsidR="002E15BC" w:rsidRPr="002E15BC" w:rsidRDefault="002E15BC" w:rsidP="002E15BC">
                        <w:pPr>
                          <w:jc w:val="center"/>
                          <w:rPr>
                            <w:rFonts w:cs="Times New Roman"/>
                            <w:sz w:val="24"/>
                            <w:szCs w:val="24"/>
                          </w:rPr>
                        </w:pPr>
                        <w:r w:rsidRPr="002E15BC">
                          <w:rPr>
                            <w:rFonts w:cs="Times New Roman"/>
                            <w:sz w:val="24"/>
                            <w:szCs w:val="24"/>
                          </w:rPr>
                          <w:t xml:space="preserve">Институт </w:t>
                        </w:r>
                      </w:p>
                      <w:p w:rsidR="002E15BC" w:rsidRPr="002E15BC" w:rsidRDefault="002E15BC" w:rsidP="002E15BC">
                        <w:pPr>
                          <w:jc w:val="center"/>
                          <w:rPr>
                            <w:rFonts w:cs="Times New Roman"/>
                            <w:sz w:val="24"/>
                            <w:szCs w:val="24"/>
                          </w:rPr>
                        </w:pPr>
                        <w:r w:rsidRPr="002E15BC">
                          <w:rPr>
                            <w:rFonts w:cs="Times New Roman"/>
                            <w:sz w:val="24"/>
                            <w:szCs w:val="24"/>
                          </w:rPr>
                          <w:t>социальной ответственности бизнеса</w:t>
                        </w:r>
                      </w:p>
                      <w:p w:rsidR="002E15BC" w:rsidRPr="002E15BC" w:rsidRDefault="002E15BC" w:rsidP="002E15BC">
                        <w:pPr>
                          <w:jc w:val="center"/>
                          <w:rPr>
                            <w:rFonts w:cs="Times New Roman"/>
                            <w:sz w:val="24"/>
                            <w:szCs w:val="24"/>
                          </w:rPr>
                        </w:pPr>
                      </w:p>
                    </w:txbxContent>
                  </v:textbox>
                </v:shape>
                <v:line id="Прямая соединительная линия 241" o:spid="_x0000_s1032" style="position:absolute;visibility:visible;mso-wrap-style:square" from="5379,10291" to="10673,10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hCAMUAAADaAAAADwAAAGRycy9kb3ducmV2LnhtbESPS2/CMBCE75X4D9Yi9VacPkEBg6BS&#10;qx4QKo8Dx1W8JCn2OokNSfn1NVIljqOZ+UYzmXXWiDM1vnSs4HGQgCDOnC45V7DbfjyMQPiArNE4&#10;JgW/5GE27d1NMNWu5TWdNyEXEcI+RQVFCFUqpc8KsugHriKO3sE1FkOUTS51g22EWyOfkuRNWiw5&#10;LhRY0XtB2XFzsgqWp0Vbv3x/mr1ZXFZL+VO/bp9rpe773XwMIlAXbuH/9pdWMITrlXgD5PQ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KhCAMUAAADaAAAADwAAAAAAAAAA&#10;AAAAAAChAgAAZHJzL2Rvd25yZXYueG1sUEsFBgAAAAAEAAQA+QAAAJMDAAAAAA==&#10;" strokeweight="1.5pt">
                  <v:stroke dashstyle="dash"/>
                </v:line>
                <v:line id="Прямая соединительная линия 243" o:spid="_x0000_s1033" style="position:absolute;visibility:visible;mso-wrap-style:square" from="4668,9226" to="10673,92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fWcsIAAADaAAAADwAAAGRycy9kb3ducmV2LnhtbERPu27CMBTdK/EP1kViKw7QIhQwCCq1&#10;6oAqXgPjVXxJAvZ1EhuS9uvroVLHo/NerDprxIMaXzpWMBomIIgzp0vOFZyO788zED4gazSOScE3&#10;eVgte08LTLVreU+PQ8hFDGGfooIihCqV0mcFWfRDVxFH7uIaiyHCJpe6wTaGWyPHSTKVFkuODQVW&#10;9FZQdjvcrYLtfdPWL7sPczabn6+tvNavx0mt1KDfrecgAnXhX/zn/tQK4tZ4Jd4Auf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TfWcsIAAADaAAAADwAAAAAAAAAAAAAA&#10;AAChAgAAZHJzL2Rvd25yZXYueG1sUEsFBgAAAAAEAAQA+QAAAJADAAAAAA==&#10;" strokeweight="1.5pt">
                  <v:stroke dashstyle="dash"/>
                </v:line>
                <v:line id="Прямая соединительная линия 244" o:spid="_x0000_s1034" style="position:absolute;visibility:visible;mso-wrap-style:square" from="3945,7981" to="10598,79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ntz6cUAAADaAAAADwAAAGRycy9kb3ducmV2LnhtbESPS2/CMBCE75X4D9Yi9VacPgUBg6BS&#10;qx4QKo8Dx1W8JCn2OokNSfn1NVIljqOZ+UYzmXXWiDM1vnSs4HGQgCDOnC45V7DbfjwMQfiArNE4&#10;JgW/5GE27d1NMNWu5TWdNyEXEcI+RQVFCFUqpc8KsugHriKO3sE1FkOUTS51g22EWyOfkuRNWiw5&#10;LhRY0XtB2XFzsgqWp0Vbv3x/mr1ZXFZL+VO/bp9rpe773XwMIlAXbuH/9pdWMILrlXgD5PQ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ntz6cUAAADaAAAADwAAAAAAAAAA&#10;AAAAAAChAgAAZHJzL2Rvd25yZXYueG1sUEsFBgAAAAAEAAQA+QAAAJMDAAAAAA==&#10;" strokeweight="1.5pt">
                  <v:stroke dashstyle="dash"/>
                </v:line>
              </v:group>
            </w:pict>
          </mc:Fallback>
        </mc:AlternateContent>
      </w:r>
    </w:p>
    <w:p w:rsidR="002E15BC" w:rsidRDefault="002E15BC" w:rsidP="002E15BC">
      <w:pPr>
        <w:jc w:val="both"/>
        <w:rPr>
          <w:color w:val="000000"/>
          <w:szCs w:val="28"/>
        </w:rPr>
      </w:pPr>
    </w:p>
    <w:p w:rsidR="002E15BC" w:rsidRPr="00AC5918" w:rsidRDefault="002E15BC" w:rsidP="002E15BC">
      <w:pPr>
        <w:jc w:val="both"/>
        <w:rPr>
          <w:color w:val="000000"/>
          <w:szCs w:val="28"/>
        </w:rPr>
      </w:pPr>
    </w:p>
    <w:p w:rsidR="002E15BC" w:rsidRPr="007821AC" w:rsidRDefault="002E15BC" w:rsidP="002E15BC">
      <w:pPr>
        <w:spacing w:line="360" w:lineRule="auto"/>
        <w:jc w:val="both"/>
        <w:rPr>
          <w:color w:val="000000"/>
          <w:szCs w:val="28"/>
        </w:rPr>
      </w:pPr>
    </w:p>
    <w:p w:rsidR="002E15BC" w:rsidRPr="007821AC" w:rsidRDefault="002E15BC" w:rsidP="002E15BC">
      <w:pPr>
        <w:spacing w:line="360" w:lineRule="auto"/>
        <w:jc w:val="both"/>
        <w:rPr>
          <w:color w:val="000000"/>
          <w:szCs w:val="28"/>
        </w:rPr>
      </w:pPr>
    </w:p>
    <w:p w:rsidR="002E15BC" w:rsidRDefault="002E15BC" w:rsidP="002E15BC">
      <w:pPr>
        <w:spacing w:line="360" w:lineRule="auto"/>
        <w:jc w:val="both"/>
        <w:rPr>
          <w:color w:val="000000"/>
          <w:szCs w:val="28"/>
        </w:rPr>
      </w:pPr>
    </w:p>
    <w:p w:rsidR="002E15BC" w:rsidRDefault="002E15BC" w:rsidP="002E15BC">
      <w:pPr>
        <w:spacing w:line="360" w:lineRule="auto"/>
        <w:jc w:val="both"/>
        <w:rPr>
          <w:color w:val="000000"/>
          <w:szCs w:val="28"/>
        </w:rPr>
      </w:pPr>
    </w:p>
    <w:p w:rsidR="002E15BC" w:rsidRPr="00236C71" w:rsidRDefault="002E15BC" w:rsidP="002E15BC">
      <w:pPr>
        <w:spacing w:line="360" w:lineRule="auto"/>
        <w:ind w:firstLine="851"/>
        <w:jc w:val="both"/>
        <w:rPr>
          <w:color w:val="000000"/>
          <w:szCs w:val="28"/>
          <w:lang w:eastAsia="ru-RU"/>
        </w:rPr>
      </w:pPr>
    </w:p>
    <w:p w:rsidR="002E15BC" w:rsidRDefault="002E15BC" w:rsidP="002E15BC">
      <w:pPr>
        <w:jc w:val="center"/>
        <w:rPr>
          <w:szCs w:val="28"/>
        </w:rPr>
      </w:pPr>
    </w:p>
    <w:p w:rsidR="002E15BC" w:rsidRDefault="002E15BC" w:rsidP="002E15BC">
      <w:pPr>
        <w:jc w:val="center"/>
        <w:rPr>
          <w:rFonts w:cs="Times New Roman"/>
          <w:b/>
          <w:szCs w:val="28"/>
        </w:rPr>
      </w:pPr>
    </w:p>
    <w:p w:rsidR="002E15BC" w:rsidRDefault="002E15BC" w:rsidP="002E15BC">
      <w:pPr>
        <w:jc w:val="center"/>
        <w:rPr>
          <w:rFonts w:cs="Times New Roman"/>
          <w:b/>
          <w:szCs w:val="28"/>
        </w:rPr>
      </w:pPr>
    </w:p>
    <w:p w:rsidR="002E15BC" w:rsidRDefault="002E15BC" w:rsidP="002E15BC">
      <w:pPr>
        <w:jc w:val="center"/>
        <w:rPr>
          <w:rFonts w:cs="Times New Roman"/>
          <w:b/>
          <w:szCs w:val="28"/>
        </w:rPr>
      </w:pPr>
    </w:p>
    <w:p w:rsidR="002E15BC" w:rsidRPr="002E15BC" w:rsidRDefault="002E15BC" w:rsidP="002E15BC">
      <w:pPr>
        <w:spacing w:line="360" w:lineRule="auto"/>
        <w:jc w:val="center"/>
        <w:rPr>
          <w:rFonts w:cs="Times New Roman"/>
          <w:sz w:val="24"/>
          <w:szCs w:val="24"/>
        </w:rPr>
      </w:pPr>
      <w:r w:rsidRPr="002E15BC">
        <w:rPr>
          <w:rFonts w:cs="Times New Roman"/>
          <w:sz w:val="24"/>
          <w:szCs w:val="24"/>
        </w:rPr>
        <w:t>Рисунок 1 – Структурные элементы института социальной ответственности бизнеса (составлено автором)</w:t>
      </w:r>
    </w:p>
    <w:p w:rsidR="002E15BC" w:rsidRDefault="002E15BC" w:rsidP="002E15BC">
      <w:pPr>
        <w:spacing w:line="360" w:lineRule="auto"/>
        <w:ind w:firstLine="567"/>
        <w:jc w:val="both"/>
        <w:rPr>
          <w:rFonts w:cs="Times New Roman"/>
          <w:sz w:val="24"/>
          <w:szCs w:val="24"/>
        </w:rPr>
      </w:pP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Рассмотрим каждый из структурных элементов института социальной ответственности бизнеса:</w:t>
      </w:r>
    </w:p>
    <w:p w:rsidR="002E15BC" w:rsidRPr="002E15BC" w:rsidRDefault="002E15BC" w:rsidP="002E15BC">
      <w:pPr>
        <w:spacing w:line="360" w:lineRule="auto"/>
        <w:ind w:firstLine="567"/>
        <w:jc w:val="both"/>
        <w:rPr>
          <w:rFonts w:cs="Times New Roman"/>
          <w:sz w:val="24"/>
          <w:szCs w:val="24"/>
        </w:rPr>
      </w:pPr>
      <w:r w:rsidRPr="002E15BC">
        <w:rPr>
          <w:rFonts w:cs="Times New Roman"/>
          <w:sz w:val="24"/>
          <w:szCs w:val="24"/>
        </w:rPr>
        <w:t>1. Совокупность формальных и неформальных норм.</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lastRenderedPageBreak/>
        <w:t>Согласно основным положениям неоинституциональной теории, данный элемент является основой института социальной ответственности. Под формальными нормами института социальной ответственности будем понимать:</w:t>
      </w:r>
    </w:p>
    <w:p w:rsidR="002E15BC" w:rsidRPr="002E15BC" w:rsidRDefault="002E15BC" w:rsidP="002E15BC">
      <w:pPr>
        <w:numPr>
          <w:ilvl w:val="0"/>
          <w:numId w:val="14"/>
        </w:numPr>
        <w:spacing w:line="360" w:lineRule="auto"/>
        <w:jc w:val="both"/>
        <w:rPr>
          <w:rFonts w:cs="Times New Roman"/>
          <w:sz w:val="24"/>
          <w:szCs w:val="24"/>
        </w:rPr>
      </w:pPr>
      <w:r w:rsidRPr="002E15BC">
        <w:rPr>
          <w:rFonts w:cs="Times New Roman"/>
          <w:sz w:val="24"/>
          <w:szCs w:val="24"/>
        </w:rPr>
        <w:t>нормы «основного закона» – положения конституции относительно социальной защиты, прав, свобод и т.д.;</w:t>
      </w:r>
    </w:p>
    <w:p w:rsidR="002E15BC" w:rsidRPr="002E15BC" w:rsidRDefault="002E15BC" w:rsidP="002E15BC">
      <w:pPr>
        <w:numPr>
          <w:ilvl w:val="0"/>
          <w:numId w:val="14"/>
        </w:numPr>
        <w:spacing w:line="360" w:lineRule="auto"/>
        <w:jc w:val="both"/>
        <w:rPr>
          <w:rFonts w:cs="Times New Roman"/>
          <w:sz w:val="24"/>
          <w:szCs w:val="24"/>
        </w:rPr>
      </w:pPr>
      <w:r w:rsidRPr="002E15BC">
        <w:rPr>
          <w:rFonts w:cs="Times New Roman"/>
          <w:sz w:val="24"/>
          <w:szCs w:val="24"/>
        </w:rPr>
        <w:t>нормы, которые не должны противоречить элементам высшего уровня: законы, кодексы и другие нормативные акты, которые дополняют и расшифровывают положения «основного закона»;</w:t>
      </w:r>
    </w:p>
    <w:p w:rsidR="002E15BC" w:rsidRPr="002E15BC" w:rsidRDefault="002E15BC" w:rsidP="002E15BC">
      <w:pPr>
        <w:numPr>
          <w:ilvl w:val="0"/>
          <w:numId w:val="14"/>
        </w:numPr>
        <w:spacing w:line="360" w:lineRule="auto"/>
        <w:jc w:val="both"/>
        <w:rPr>
          <w:rFonts w:cs="Times New Roman"/>
          <w:sz w:val="24"/>
          <w:szCs w:val="24"/>
        </w:rPr>
      </w:pPr>
      <w:r w:rsidRPr="002E15BC">
        <w:rPr>
          <w:rFonts w:cs="Times New Roman"/>
          <w:sz w:val="24"/>
          <w:szCs w:val="24"/>
        </w:rPr>
        <w:t>внутренние нормы или «правила игры», устанавливаемые организациями, учреждениями и лицами.</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Неформальные нормы – это корпоративные ценности, традиции меценатства и филантропии, ментальные стереотипы и т.д.</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Именно совокупность формальных и неформальных норм обуславливает возникновение ролей и статусов субъектов.</w:t>
      </w:r>
    </w:p>
    <w:p w:rsidR="002E15BC" w:rsidRPr="002E15BC" w:rsidRDefault="002E15BC" w:rsidP="002E15BC">
      <w:pPr>
        <w:spacing w:line="360" w:lineRule="auto"/>
        <w:ind w:firstLine="567"/>
        <w:jc w:val="both"/>
        <w:rPr>
          <w:rFonts w:cs="Times New Roman"/>
          <w:sz w:val="24"/>
          <w:szCs w:val="24"/>
        </w:rPr>
      </w:pPr>
      <w:r w:rsidRPr="002E15BC">
        <w:rPr>
          <w:rFonts w:cs="Times New Roman"/>
          <w:sz w:val="24"/>
          <w:szCs w:val="24"/>
        </w:rPr>
        <w:t>2. Совокупность ролей и статусов субъектов института.</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Применительно к основным положениям теории стейкхолдеров, можно выделить 2 группы субъектов, которые, руководствуясь формальными и неформальными нормами, взаимодействуют между собой в институте ответственности бизнеса: заинтересованные стороны и субъекты хозяйствования.</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 xml:space="preserve">Субъекты хозяйствования, имея определенные права и обязанности (иначе, статус), играют роль (поведение, вытекающее из статуса) «создателей» социального эффекта. </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В свою очередь, заинтересованные стороны также имеют определенный статус (права и обязанности, которые позволяют им контролировать деятельность субъекта хозяйствования) и выступают в роли «получателей» социального эффекта).</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Итак, сформированные формальными и неформальными нормами роли и статусы субъектов института, находят свое отражение в деятельности организаций, структурирующих взаимоотношения в институте.</w:t>
      </w:r>
    </w:p>
    <w:p w:rsidR="002E15BC" w:rsidRPr="002E15BC" w:rsidRDefault="002E15BC" w:rsidP="002E15BC">
      <w:pPr>
        <w:spacing w:line="360" w:lineRule="auto"/>
        <w:ind w:firstLine="567"/>
        <w:jc w:val="both"/>
        <w:rPr>
          <w:rFonts w:cs="Times New Roman"/>
          <w:sz w:val="24"/>
          <w:szCs w:val="24"/>
        </w:rPr>
      </w:pPr>
      <w:r w:rsidRPr="002E15BC">
        <w:rPr>
          <w:rFonts w:cs="Times New Roman"/>
          <w:sz w:val="24"/>
          <w:szCs w:val="24"/>
        </w:rPr>
        <w:t>3. Совокупность организаций, структурирующих взаимоотношения в институте.</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Следует отметить, что четко определить совокупность организаций, которые функционируют в рамках института социальной ответственности, довольно сложно. Как уже отмечалось, динамическое развитие социальных и экономических отношений приводит к постоянному процессу формирования новых и преобразованию уже существующих организаций.</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 xml:space="preserve">В работе Д. Норта «Институты, институциональные изменения и функционирование экономики» в понятие «организация» входят политические органы и учреждения </w:t>
      </w:r>
      <w:r w:rsidRPr="002E15BC">
        <w:rPr>
          <w:rFonts w:cs="Times New Roman"/>
          <w:sz w:val="24"/>
          <w:szCs w:val="24"/>
        </w:rPr>
        <w:lastRenderedPageBreak/>
        <w:t>(политические партии, Сенат, городской совет, контрольное ведомство), экономические структуры (фирмы, профсоюзы, семейные фермы, кооперативы), общественные учреждения (церкви, клубы, спортивные ассоциации) и образовательные учреждения (школы, университеты, центры профессионального обучения) и т.д.</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 xml:space="preserve">Как видно, все представленные организации могут взаимодействовать в рамках института социальной ответственности бизнеса. </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 xml:space="preserve">Стоит отметить, что для расширения круга организаций, структурирующих взаимоотношения в институте социальной ответственности бизнеса, можно использовать и положения теории заинтересованных сторон Э. Фримена. В работе «Стратегический менеджмент: подход заинтересованных сторон» он представил наиболее полную и универсальную трактовку понятия «стейкхолдеров» как совокупности агентов, которые осуществляют несомненное влияние на компанию и в то же время испытывают влияние компании на себе. </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Итак, организация – это группа людей, объединенных стремлением сообща достичь какой-либо цели. Совершенно ясно, что для достижения цели необходим соответствующий инструментарий. Таким инструментарием в институте социальной ответственности бизнеса является комплекс социальных действий.</w:t>
      </w:r>
    </w:p>
    <w:p w:rsidR="002E15BC" w:rsidRPr="002E15BC" w:rsidRDefault="002E15BC" w:rsidP="002E15BC">
      <w:pPr>
        <w:spacing w:line="360" w:lineRule="auto"/>
        <w:ind w:firstLine="567"/>
        <w:jc w:val="both"/>
        <w:rPr>
          <w:rFonts w:cs="Times New Roman"/>
          <w:sz w:val="24"/>
          <w:szCs w:val="24"/>
        </w:rPr>
      </w:pPr>
      <w:r w:rsidRPr="002E15BC">
        <w:rPr>
          <w:rFonts w:cs="Times New Roman"/>
          <w:sz w:val="24"/>
          <w:szCs w:val="24"/>
        </w:rPr>
        <w:t>4. Комплекс социальных действий.</w:t>
      </w:r>
    </w:p>
    <w:p w:rsidR="002E15BC" w:rsidRDefault="002E15BC" w:rsidP="002E15BC">
      <w:pPr>
        <w:spacing w:line="360" w:lineRule="auto"/>
        <w:ind w:firstLine="709"/>
        <w:jc w:val="both"/>
        <w:rPr>
          <w:rFonts w:cs="Times New Roman"/>
          <w:sz w:val="24"/>
          <w:szCs w:val="24"/>
        </w:rPr>
      </w:pPr>
      <w:r w:rsidRPr="002E15BC">
        <w:rPr>
          <w:rFonts w:cs="Times New Roman"/>
          <w:sz w:val="24"/>
          <w:szCs w:val="24"/>
        </w:rPr>
        <w:t xml:space="preserve">Необходимо отметить, что взаимодействие всех рассмотренных структурных элементов, в конечном итоге, происходит посредством реализации субъектом хозяйствования устойчиво закрепленных и социально легитимных статусных действий, функций (институций). </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В исследовании данного вопроса привлекают внимание работы  Фролова Д.П., Шулимовой А.А., которые выделяют следующие институции социальной ответственности бизнеса: корпоративная благотворительность, меценатство, спонсорство, социальный маркетинг, социальное инвестирование и партнерство, корпоративное гражданство и волонтёрство [5, c. 132]. В работах указанных авторов подробно рассмотрены проблемы идентификации отдельных институций социальной ответственности бизнеса. Акцентировано, что социальные программы и практики, кодексы и стандарты, публичная нефинансовая отчетность и т.д. являются совокупным продуктом действия различных институций в разных комбинациях, вследствие чего определить главную институцию (функцию) тяжело.</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 xml:space="preserve">В экономическом смысле, основываясь на комплексе институций социальной ответственности, компания вынуждена будет нести расходы  по воспроизводству соответствующих социальных статусов, что ведет к получению определенных выгод, в том числе полезных эффектов [5, c. 136]. </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 xml:space="preserve">Анализ затрат и выгод отдельных институций социально ответственного бизнеса проведенный авторами [5], подтверждает ранее высказанный нами тезис о том, что реализация социальных программ формирует предпринимательскую среду посредством развития корпоративных связей и отношений с заинтересованными сторонами субъекта хозяйствования на основе, прежде всего международных стандартов социальной ответственности бизнеса. </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В данном контексте международные стандарты социальной ответственности бизнеса выступают в качестве попытки мирового сообщества закрепить общепринятые правила и норм поведения в предпринимательской среде.</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В ходе исследования усовершенствована структура и иерархия элементов института социальной ответственности, в основе которой лежит совокупность формальных и неформальных норм, нацеленных на формирование и развитие предпринимательской среды, посредством развития корпоративных связей и отношений, свойственных предпринимательской деятельности и направленных на согласование интересов заинтересованных сторон.</w:t>
      </w:r>
    </w:p>
    <w:p w:rsidR="002E15BC" w:rsidRPr="002E15BC" w:rsidRDefault="002E15BC" w:rsidP="002E15BC">
      <w:pPr>
        <w:spacing w:line="360" w:lineRule="auto"/>
        <w:ind w:firstLine="709"/>
        <w:jc w:val="both"/>
        <w:rPr>
          <w:rFonts w:cs="Times New Roman"/>
          <w:sz w:val="24"/>
          <w:szCs w:val="24"/>
        </w:rPr>
      </w:pPr>
      <w:r w:rsidRPr="002E15BC">
        <w:rPr>
          <w:rFonts w:cs="Times New Roman"/>
          <w:sz w:val="24"/>
          <w:szCs w:val="24"/>
        </w:rPr>
        <w:t>В свою очередь, процесс формирования предпринимательской среды подчеркивает необходимость субъектов хозяйствования в информации о направлениях и результатах социальной ответственности бизнеса. Находясь под влиянием рядя внешних и внутренних факторов, в предпринимательской среде формируются образцы поведения, которые составляют основу необходимых «правил игры» для долгосрочных перспектив бизнеса. Очевидно, что такие «правила игры» формируются не только на уровне  предприятия, отрасли, а и на уровне национальной и мировой экономики, обуславливая тем самым перспективные направления исследований основных источников «правил игры», которыми, являются международные стандарты социальной ответственности бизнеса.</w:t>
      </w:r>
    </w:p>
    <w:p w:rsidR="002E15BC" w:rsidRDefault="002E15BC" w:rsidP="00613F6A">
      <w:pPr>
        <w:spacing w:line="360" w:lineRule="auto"/>
        <w:jc w:val="both"/>
        <w:rPr>
          <w:rFonts w:cs="Times New Roman"/>
          <w:sz w:val="24"/>
          <w:szCs w:val="24"/>
        </w:rPr>
      </w:pPr>
    </w:p>
    <w:p w:rsidR="00197678" w:rsidRPr="00337F3D" w:rsidRDefault="00197678" w:rsidP="000820B9">
      <w:pPr>
        <w:spacing w:line="360" w:lineRule="auto"/>
        <w:jc w:val="center"/>
        <w:rPr>
          <w:rFonts w:cs="Times New Roman"/>
          <w:b/>
          <w:sz w:val="24"/>
          <w:szCs w:val="24"/>
        </w:rPr>
      </w:pPr>
      <w:r w:rsidRPr="00613F6A">
        <w:rPr>
          <w:rFonts w:cs="Times New Roman"/>
          <w:b/>
          <w:sz w:val="24"/>
          <w:szCs w:val="24"/>
        </w:rPr>
        <w:t>Список</w:t>
      </w:r>
      <w:r w:rsidRPr="00337F3D">
        <w:rPr>
          <w:rFonts w:cs="Times New Roman"/>
          <w:b/>
          <w:sz w:val="24"/>
          <w:szCs w:val="24"/>
        </w:rPr>
        <w:t xml:space="preserve"> </w:t>
      </w:r>
      <w:r w:rsidR="000820B9">
        <w:rPr>
          <w:rFonts w:cs="Times New Roman"/>
          <w:b/>
          <w:sz w:val="24"/>
          <w:szCs w:val="24"/>
        </w:rPr>
        <w:t>литературы</w:t>
      </w:r>
    </w:p>
    <w:p w:rsidR="00337F3D" w:rsidRPr="00337F3D" w:rsidRDefault="00337F3D" w:rsidP="00337F3D">
      <w:pPr>
        <w:spacing w:line="360" w:lineRule="auto"/>
        <w:ind w:firstLine="567"/>
        <w:jc w:val="both"/>
        <w:rPr>
          <w:sz w:val="24"/>
        </w:rPr>
      </w:pPr>
      <w:r>
        <w:rPr>
          <w:sz w:val="24"/>
        </w:rPr>
        <w:t xml:space="preserve">1. </w:t>
      </w:r>
      <w:r w:rsidRPr="00337F3D">
        <w:rPr>
          <w:sz w:val="24"/>
        </w:rPr>
        <w:t>Ильин А.В. Формирование и развитие корпоративной предпринимательской среды в аграрном секторе: автореф. дис. ... канд. экон. наук: 08.00.05. Тамбов, 2012. 26 с.</w:t>
      </w:r>
    </w:p>
    <w:p w:rsidR="00337F3D" w:rsidRPr="00337F3D" w:rsidRDefault="00337F3D" w:rsidP="00337F3D">
      <w:pPr>
        <w:spacing w:line="360" w:lineRule="auto"/>
        <w:ind w:firstLine="567"/>
        <w:jc w:val="both"/>
        <w:rPr>
          <w:sz w:val="24"/>
        </w:rPr>
      </w:pPr>
      <w:r>
        <w:rPr>
          <w:sz w:val="24"/>
        </w:rPr>
        <w:t xml:space="preserve">2. </w:t>
      </w:r>
      <w:r w:rsidRPr="00337F3D">
        <w:rPr>
          <w:sz w:val="24"/>
        </w:rPr>
        <w:t>Левушкина С.В. Интегрированная совокупность факторов предпринимательской  среды и тенденции их развития // Современные исследования социальных проблем (электронный научный журнал). 2012.  №9 (17).</w:t>
      </w:r>
    </w:p>
    <w:p w:rsidR="00337F3D" w:rsidRPr="00337F3D" w:rsidRDefault="00337F3D" w:rsidP="00337F3D">
      <w:pPr>
        <w:spacing w:line="360" w:lineRule="auto"/>
        <w:ind w:firstLine="567"/>
        <w:jc w:val="both"/>
        <w:rPr>
          <w:sz w:val="24"/>
        </w:rPr>
      </w:pPr>
      <w:r>
        <w:rPr>
          <w:sz w:val="24"/>
        </w:rPr>
        <w:t xml:space="preserve">3. </w:t>
      </w:r>
      <w:r w:rsidRPr="00337F3D">
        <w:rPr>
          <w:sz w:val="24"/>
        </w:rPr>
        <w:t>Лоншакова А.Н. Формирование и развитие корпоративной предпринимательской среды: автореф. дис. ... канд. экон. наук: 08.00.05. СПб., 2011. 19 с.</w:t>
      </w:r>
    </w:p>
    <w:p w:rsidR="00337F3D" w:rsidRPr="00337F3D" w:rsidRDefault="00337F3D" w:rsidP="00337F3D">
      <w:pPr>
        <w:spacing w:line="360" w:lineRule="auto"/>
        <w:ind w:firstLine="567"/>
        <w:jc w:val="both"/>
        <w:rPr>
          <w:sz w:val="24"/>
        </w:rPr>
      </w:pPr>
      <w:r>
        <w:rPr>
          <w:sz w:val="24"/>
        </w:rPr>
        <w:t xml:space="preserve">4. </w:t>
      </w:r>
      <w:r w:rsidRPr="00337F3D">
        <w:rPr>
          <w:sz w:val="24"/>
        </w:rPr>
        <w:t>Петренко С.Н, Бессарабов В.О. Понятие и сущность института социальной ответственности бизнеса // Факторы  устойчивого  развития  регионов  России: монография / [под ред. С.С. Чернова]. Новосибирск:  Издательство  ЦРНС,  2016.  Гл. 5.  С. 107-133.</w:t>
      </w:r>
    </w:p>
    <w:p w:rsidR="00337F3D" w:rsidRPr="00337F3D" w:rsidRDefault="00337F3D" w:rsidP="00337F3D">
      <w:pPr>
        <w:spacing w:line="360" w:lineRule="auto"/>
        <w:ind w:firstLine="567"/>
        <w:jc w:val="both"/>
        <w:rPr>
          <w:sz w:val="24"/>
        </w:rPr>
      </w:pPr>
      <w:r>
        <w:rPr>
          <w:sz w:val="24"/>
        </w:rPr>
        <w:t xml:space="preserve">5. </w:t>
      </w:r>
      <w:r w:rsidRPr="00337F3D">
        <w:rPr>
          <w:sz w:val="24"/>
        </w:rPr>
        <w:t>Фролов Д.П., Шулимова А.А. Институциональная системность социальной ответственности бизнеса (природа, институции, механизм) // jis.  2013. №1.  С.124-144.</w:t>
      </w:r>
    </w:p>
    <w:p w:rsidR="00337F3D" w:rsidRPr="00337F3D" w:rsidRDefault="00337F3D" w:rsidP="00337F3D">
      <w:pPr>
        <w:spacing w:line="360" w:lineRule="auto"/>
        <w:ind w:firstLine="567"/>
        <w:jc w:val="both"/>
        <w:rPr>
          <w:sz w:val="24"/>
        </w:rPr>
      </w:pPr>
      <w:r>
        <w:rPr>
          <w:sz w:val="24"/>
        </w:rPr>
        <w:t xml:space="preserve">6. </w:t>
      </w:r>
      <w:r w:rsidRPr="00337F3D">
        <w:rPr>
          <w:sz w:val="24"/>
        </w:rPr>
        <w:t>Чернецова Н. С., Никулина Т.Б. Экономические интересы и институты // Известия ПГУ им. В.Г. Белинского. 2012.  №28.  С.609-611</w:t>
      </w:r>
    </w:p>
    <w:p w:rsidR="00337F3D" w:rsidRPr="00337F3D" w:rsidRDefault="00337F3D" w:rsidP="00337F3D">
      <w:pPr>
        <w:spacing w:line="360" w:lineRule="auto"/>
        <w:ind w:firstLine="567"/>
        <w:jc w:val="both"/>
        <w:rPr>
          <w:sz w:val="24"/>
        </w:rPr>
      </w:pPr>
      <w:r>
        <w:rPr>
          <w:sz w:val="24"/>
        </w:rPr>
        <w:t xml:space="preserve">7. </w:t>
      </w:r>
      <w:r w:rsidRPr="00337F3D">
        <w:rPr>
          <w:sz w:val="24"/>
        </w:rPr>
        <w:t>Шихвердиев А.П., Серяков А.В. Корпоративная социальная ответственность: совершенствование взаимодействия компаний с заинтересованными лицами в системе корпоративного управления (на примере Республики Коми). М.: Экон-информ, 2010. 135 с.</w:t>
      </w:r>
    </w:p>
    <w:p w:rsidR="00197678" w:rsidRPr="000820B9" w:rsidRDefault="00197678" w:rsidP="000820B9">
      <w:pPr>
        <w:spacing w:line="360" w:lineRule="auto"/>
        <w:jc w:val="both"/>
        <w:rPr>
          <w:sz w:val="24"/>
        </w:rPr>
      </w:pPr>
      <w:r w:rsidRPr="000820B9">
        <w:rPr>
          <w:sz w:val="24"/>
          <w:lang w:val="uk-UA" w:eastAsia="ru-RU"/>
        </w:rPr>
        <w:t xml:space="preserve"> </w:t>
      </w:r>
    </w:p>
    <w:p w:rsidR="00934A0B" w:rsidRDefault="00934A0B" w:rsidP="00934A0B">
      <w:pPr>
        <w:spacing w:line="360" w:lineRule="auto"/>
        <w:jc w:val="center"/>
        <w:rPr>
          <w:b/>
          <w:sz w:val="24"/>
          <w:szCs w:val="24"/>
        </w:rPr>
      </w:pPr>
      <w:r>
        <w:rPr>
          <w:b/>
          <w:sz w:val="24"/>
          <w:szCs w:val="24"/>
        </w:rPr>
        <w:t>Информация об авторе  на русском языке</w:t>
      </w:r>
    </w:p>
    <w:p w:rsidR="00934A0B" w:rsidRPr="00562E0D" w:rsidRDefault="00934A0B" w:rsidP="00934A0B">
      <w:pPr>
        <w:spacing w:line="360" w:lineRule="auto"/>
        <w:ind w:firstLine="709"/>
        <w:jc w:val="both"/>
        <w:rPr>
          <w:sz w:val="24"/>
          <w:szCs w:val="24"/>
          <w:lang w:val="en-US"/>
        </w:rPr>
      </w:pPr>
      <w:r>
        <w:rPr>
          <w:sz w:val="24"/>
          <w:szCs w:val="24"/>
        </w:rPr>
        <w:t>Бессарабов Владислав Олегович (Донецкая Народная Республика, Донецк) – ассистент кафедры бухгалтерского учёта Государственной организации высшего профессионального образования «Донецкий национальный университет экономики и торговли имени Михаила Туган-Барановского»  (283050, г. Донецк, ул. Щорса</w:t>
      </w:r>
      <w:r w:rsidRPr="00562E0D">
        <w:rPr>
          <w:sz w:val="24"/>
          <w:szCs w:val="24"/>
          <w:lang w:val="en-US"/>
        </w:rPr>
        <w:t xml:space="preserve"> 31, </w:t>
      </w:r>
      <w:r>
        <w:rPr>
          <w:sz w:val="24"/>
          <w:szCs w:val="24"/>
          <w:lang w:val="en-US"/>
        </w:rPr>
        <w:t>bessarabov93@gmail.com</w:t>
      </w:r>
      <w:r w:rsidRPr="00562E0D">
        <w:rPr>
          <w:sz w:val="24"/>
          <w:szCs w:val="24"/>
          <w:lang w:val="en-US"/>
        </w:rPr>
        <w:t>).</w:t>
      </w:r>
    </w:p>
    <w:p w:rsidR="00934A0B" w:rsidRPr="00562E0D" w:rsidRDefault="00934A0B" w:rsidP="00934A0B">
      <w:pPr>
        <w:spacing w:line="360" w:lineRule="auto"/>
        <w:jc w:val="right"/>
        <w:rPr>
          <w:sz w:val="24"/>
          <w:szCs w:val="24"/>
          <w:lang w:val="en-US" w:eastAsia="ru-RU"/>
        </w:rPr>
      </w:pPr>
    </w:p>
    <w:p w:rsidR="00934A0B" w:rsidRPr="00337F3D" w:rsidRDefault="00934A0B" w:rsidP="00934A0B">
      <w:pPr>
        <w:spacing w:line="360" w:lineRule="auto"/>
        <w:jc w:val="right"/>
        <w:rPr>
          <w:b/>
          <w:sz w:val="24"/>
          <w:szCs w:val="24"/>
          <w:lang w:val="en-US"/>
        </w:rPr>
      </w:pPr>
      <w:r w:rsidRPr="00337F3D">
        <w:rPr>
          <w:b/>
          <w:sz w:val="24"/>
          <w:szCs w:val="24"/>
          <w:lang w:val="en-US"/>
        </w:rPr>
        <w:t xml:space="preserve">Bessarabov V.O. </w:t>
      </w:r>
    </w:p>
    <w:p w:rsidR="00337F3D" w:rsidRPr="00337F3D" w:rsidRDefault="00337F3D" w:rsidP="00337F3D">
      <w:pPr>
        <w:spacing w:line="360" w:lineRule="auto"/>
        <w:jc w:val="center"/>
        <w:rPr>
          <w:b/>
          <w:sz w:val="24"/>
          <w:szCs w:val="24"/>
          <w:lang w:val="en-US" w:eastAsia="ru-RU"/>
        </w:rPr>
      </w:pPr>
      <w:r w:rsidRPr="00337F3D">
        <w:rPr>
          <w:b/>
          <w:sz w:val="24"/>
          <w:szCs w:val="24"/>
          <w:lang w:val="en-US" w:eastAsia="ru-RU"/>
        </w:rPr>
        <w:t>HIERARCHICAL STRUCTURE AND CONTENT OF SOCIAL RESPONSIBILITY</w:t>
      </w:r>
    </w:p>
    <w:p w:rsidR="00337F3D" w:rsidRPr="00337F3D" w:rsidRDefault="00337F3D" w:rsidP="00337F3D">
      <w:pPr>
        <w:spacing w:line="360" w:lineRule="auto"/>
        <w:jc w:val="both"/>
        <w:rPr>
          <w:sz w:val="24"/>
          <w:szCs w:val="24"/>
          <w:lang w:val="en-US" w:eastAsia="ru-RU"/>
        </w:rPr>
      </w:pPr>
    </w:p>
    <w:p w:rsidR="00337F3D" w:rsidRPr="00337F3D" w:rsidRDefault="00337F3D" w:rsidP="00337F3D">
      <w:pPr>
        <w:spacing w:line="360" w:lineRule="auto"/>
        <w:ind w:firstLine="709"/>
        <w:jc w:val="both"/>
        <w:rPr>
          <w:i/>
          <w:sz w:val="24"/>
          <w:szCs w:val="24"/>
          <w:lang w:val="en-US" w:eastAsia="ru-RU"/>
        </w:rPr>
      </w:pPr>
      <w:r w:rsidRPr="00337F3D">
        <w:rPr>
          <w:i/>
          <w:sz w:val="24"/>
          <w:szCs w:val="24"/>
          <w:lang w:val="en-US" w:eastAsia="ru-RU"/>
        </w:rPr>
        <w:t>The article deals with the structure and hierarchy of the elements of the Institute of Social Responsibility, which is based on a set of norms aimed at the formation of an entrepreneurial environment, through the development of corporate ties and relations aimed at harmonizing the interests of interested parties.</w:t>
      </w:r>
    </w:p>
    <w:p w:rsidR="00337F3D" w:rsidRPr="00337F3D" w:rsidRDefault="00337F3D" w:rsidP="00337F3D">
      <w:pPr>
        <w:spacing w:line="360" w:lineRule="auto"/>
        <w:ind w:firstLine="709"/>
        <w:jc w:val="both"/>
        <w:rPr>
          <w:i/>
          <w:sz w:val="24"/>
          <w:szCs w:val="24"/>
          <w:lang w:val="en-US" w:eastAsia="ru-RU"/>
        </w:rPr>
      </w:pPr>
      <w:r w:rsidRPr="00337F3D">
        <w:rPr>
          <w:i/>
          <w:sz w:val="24"/>
          <w:szCs w:val="24"/>
          <w:lang w:val="en-US" w:eastAsia="ru-RU"/>
        </w:rPr>
        <w:t>Social responsibility of business, institute of social responsibility of business, business environment</w:t>
      </w:r>
    </w:p>
    <w:p w:rsidR="00337F3D" w:rsidRPr="00337F3D" w:rsidRDefault="00337F3D" w:rsidP="00934A0B">
      <w:pPr>
        <w:spacing w:line="360" w:lineRule="auto"/>
        <w:jc w:val="center"/>
        <w:rPr>
          <w:sz w:val="24"/>
          <w:szCs w:val="24"/>
          <w:lang w:val="en-US" w:eastAsia="ru-RU"/>
        </w:rPr>
      </w:pPr>
    </w:p>
    <w:p w:rsidR="00934A0B" w:rsidRPr="008D37A2" w:rsidRDefault="00934A0B" w:rsidP="00934A0B">
      <w:pPr>
        <w:spacing w:line="360" w:lineRule="auto"/>
        <w:jc w:val="center"/>
        <w:rPr>
          <w:b/>
          <w:sz w:val="24"/>
          <w:szCs w:val="24"/>
          <w:lang w:val="en-US" w:eastAsia="ru-RU"/>
        </w:rPr>
      </w:pPr>
      <w:r>
        <w:rPr>
          <w:b/>
          <w:sz w:val="24"/>
          <w:szCs w:val="24"/>
          <w:lang w:eastAsia="ru-RU"/>
        </w:rPr>
        <w:t>Список</w:t>
      </w:r>
      <w:r w:rsidRPr="008D37A2">
        <w:rPr>
          <w:b/>
          <w:sz w:val="24"/>
          <w:szCs w:val="24"/>
          <w:lang w:val="en-US" w:eastAsia="ru-RU"/>
        </w:rPr>
        <w:t xml:space="preserve"> </w:t>
      </w:r>
      <w:r>
        <w:rPr>
          <w:b/>
          <w:sz w:val="24"/>
          <w:szCs w:val="24"/>
          <w:lang w:eastAsia="ru-RU"/>
        </w:rPr>
        <w:t>литературы</w:t>
      </w:r>
      <w:r w:rsidRPr="008D37A2">
        <w:rPr>
          <w:b/>
          <w:sz w:val="24"/>
          <w:szCs w:val="24"/>
          <w:lang w:val="en-US" w:eastAsia="ru-RU"/>
        </w:rPr>
        <w:t xml:space="preserve"> </w:t>
      </w:r>
      <w:r>
        <w:rPr>
          <w:b/>
          <w:sz w:val="24"/>
          <w:szCs w:val="24"/>
          <w:lang w:eastAsia="ru-RU"/>
        </w:rPr>
        <w:t>на</w:t>
      </w:r>
      <w:r w:rsidRPr="008D37A2">
        <w:rPr>
          <w:b/>
          <w:sz w:val="24"/>
          <w:szCs w:val="24"/>
          <w:lang w:val="en-US" w:eastAsia="ru-RU"/>
        </w:rPr>
        <w:t xml:space="preserve"> </w:t>
      </w:r>
      <w:r>
        <w:rPr>
          <w:b/>
          <w:sz w:val="24"/>
          <w:szCs w:val="24"/>
          <w:lang w:eastAsia="ru-RU"/>
        </w:rPr>
        <w:t>английском</w:t>
      </w:r>
      <w:r w:rsidRPr="008D37A2">
        <w:rPr>
          <w:b/>
          <w:sz w:val="24"/>
          <w:szCs w:val="24"/>
          <w:lang w:val="en-US" w:eastAsia="ru-RU"/>
        </w:rPr>
        <w:t xml:space="preserve"> </w:t>
      </w:r>
      <w:r>
        <w:rPr>
          <w:b/>
          <w:sz w:val="24"/>
          <w:szCs w:val="24"/>
          <w:lang w:eastAsia="ru-RU"/>
        </w:rPr>
        <w:t>языке</w:t>
      </w:r>
    </w:p>
    <w:p w:rsidR="00337F3D" w:rsidRPr="00337F3D" w:rsidRDefault="00337F3D" w:rsidP="00337F3D">
      <w:pPr>
        <w:spacing w:line="360" w:lineRule="auto"/>
        <w:ind w:firstLine="567"/>
        <w:jc w:val="both"/>
        <w:rPr>
          <w:rFonts w:cs="Times New Roman"/>
          <w:sz w:val="24"/>
          <w:szCs w:val="24"/>
          <w:lang w:val="en-US"/>
        </w:rPr>
      </w:pPr>
      <w:r w:rsidRPr="00337F3D">
        <w:rPr>
          <w:rFonts w:cs="Times New Roman"/>
          <w:sz w:val="24"/>
          <w:szCs w:val="24"/>
          <w:lang w:val="en-US"/>
        </w:rPr>
        <w:t>1. Ilyin AV Formation and development of the corporate entrepreneurial environment in the agrarian sector: author's abstract. dis ... Candidate econ Sciences: 08.00.05. Tambov, 2012. 26 p.</w:t>
      </w:r>
    </w:p>
    <w:p w:rsidR="00337F3D" w:rsidRPr="00337F3D" w:rsidRDefault="00337F3D" w:rsidP="00337F3D">
      <w:pPr>
        <w:spacing w:line="360" w:lineRule="auto"/>
        <w:ind w:firstLine="567"/>
        <w:jc w:val="both"/>
        <w:rPr>
          <w:rFonts w:cs="Times New Roman"/>
          <w:sz w:val="24"/>
          <w:szCs w:val="24"/>
          <w:lang w:val="en-US"/>
        </w:rPr>
      </w:pPr>
      <w:r w:rsidRPr="00337F3D">
        <w:rPr>
          <w:rFonts w:cs="Times New Roman"/>
          <w:sz w:val="24"/>
          <w:szCs w:val="24"/>
          <w:lang w:val="en-US"/>
        </w:rPr>
        <w:t>2. Levushkina S.V. Integrated set of factors of the entrepreneurial environment and trends of their development // Modern researches of social problems (electronic scientific journal). 2012. №9 (17).</w:t>
      </w:r>
    </w:p>
    <w:p w:rsidR="00337F3D" w:rsidRPr="00337F3D" w:rsidRDefault="00337F3D" w:rsidP="00337F3D">
      <w:pPr>
        <w:spacing w:line="360" w:lineRule="auto"/>
        <w:ind w:firstLine="567"/>
        <w:jc w:val="both"/>
        <w:rPr>
          <w:rFonts w:cs="Times New Roman"/>
          <w:sz w:val="24"/>
          <w:szCs w:val="24"/>
          <w:lang w:val="en-US"/>
        </w:rPr>
      </w:pPr>
      <w:r w:rsidRPr="00337F3D">
        <w:rPr>
          <w:rFonts w:cs="Times New Roman"/>
          <w:sz w:val="24"/>
          <w:szCs w:val="24"/>
          <w:lang w:val="en-US"/>
        </w:rPr>
        <w:t>3. Lonshakova AN Formation and development of the corporate entrepreneurial environment: author's abstract. dis ... Candidate econ Sciences: 08.00.05. St. Petersburg, 2011. 19 p.</w:t>
      </w:r>
    </w:p>
    <w:p w:rsidR="00337F3D" w:rsidRPr="00337F3D" w:rsidRDefault="00337F3D" w:rsidP="00337F3D">
      <w:pPr>
        <w:spacing w:line="360" w:lineRule="auto"/>
        <w:ind w:firstLine="567"/>
        <w:jc w:val="both"/>
        <w:rPr>
          <w:rFonts w:cs="Times New Roman"/>
          <w:sz w:val="24"/>
          <w:szCs w:val="24"/>
          <w:lang w:val="en-US"/>
        </w:rPr>
      </w:pPr>
      <w:r w:rsidRPr="00337F3D">
        <w:rPr>
          <w:rFonts w:cs="Times New Roman"/>
          <w:sz w:val="24"/>
          <w:szCs w:val="24"/>
          <w:lang w:val="en-US"/>
        </w:rPr>
        <w:t>4. Petrenko SN, Bessarabov VO Concept and essence of the institute of social responsibility of business // Factors of sustainable development of regions of Russia: monograph / [ed. SS Chernoff] Novosibirsk: Publishing House of the Russian Orthodox Church, 2016. Ch. 5. P. 107-133.</w:t>
      </w:r>
    </w:p>
    <w:p w:rsidR="00337F3D" w:rsidRPr="00337F3D" w:rsidRDefault="00337F3D" w:rsidP="00337F3D">
      <w:pPr>
        <w:spacing w:line="360" w:lineRule="auto"/>
        <w:ind w:firstLine="567"/>
        <w:jc w:val="both"/>
        <w:rPr>
          <w:rFonts w:cs="Times New Roman"/>
          <w:sz w:val="24"/>
          <w:szCs w:val="24"/>
          <w:lang w:val="en-US"/>
        </w:rPr>
      </w:pPr>
      <w:r w:rsidRPr="00337F3D">
        <w:rPr>
          <w:rFonts w:cs="Times New Roman"/>
          <w:sz w:val="24"/>
          <w:szCs w:val="24"/>
          <w:lang w:val="en-US"/>
        </w:rPr>
        <w:t>5. Frolov DP, Shulimova AA Institutional system of social responsibility of business (nature, institution, mechanism) // he. 2013. №1. P.124-144.</w:t>
      </w:r>
    </w:p>
    <w:p w:rsidR="00337F3D" w:rsidRPr="00337F3D" w:rsidRDefault="00337F3D" w:rsidP="00337F3D">
      <w:pPr>
        <w:spacing w:line="360" w:lineRule="auto"/>
        <w:ind w:firstLine="567"/>
        <w:jc w:val="both"/>
        <w:rPr>
          <w:rFonts w:cs="Times New Roman"/>
          <w:sz w:val="24"/>
          <w:szCs w:val="24"/>
          <w:lang w:val="en-US"/>
        </w:rPr>
      </w:pPr>
      <w:r w:rsidRPr="00337F3D">
        <w:rPr>
          <w:rFonts w:cs="Times New Roman"/>
          <w:sz w:val="24"/>
          <w:szCs w:val="24"/>
          <w:lang w:val="en-US"/>
        </w:rPr>
        <w:t>6. Chernetsova N. S., Nikulina T. B. Economic interests and institutes // Izvestiya PGU them. VG Belinsky 2012. №28. P. 609-611</w:t>
      </w:r>
    </w:p>
    <w:p w:rsidR="00934A0B" w:rsidRPr="00337F3D" w:rsidRDefault="00337F3D" w:rsidP="00337F3D">
      <w:pPr>
        <w:spacing w:line="360" w:lineRule="auto"/>
        <w:ind w:firstLine="567"/>
        <w:jc w:val="both"/>
        <w:rPr>
          <w:rFonts w:cs="Times New Roman"/>
          <w:sz w:val="24"/>
          <w:szCs w:val="24"/>
          <w:lang w:val="en-US"/>
        </w:rPr>
      </w:pPr>
      <w:r w:rsidRPr="00337F3D">
        <w:rPr>
          <w:rFonts w:cs="Times New Roman"/>
          <w:sz w:val="24"/>
          <w:szCs w:val="24"/>
          <w:lang w:val="en-US"/>
        </w:rPr>
        <w:t>7. Shikhverdiyev AP, Seryakov AV Corporate Social Responsibility: Improvement of the Company's Interaction with Stakeholders in the Corporate Governance System (for example, the Republic of Komi). M .: Ekon-inform, 2010. 135 p.</w:t>
      </w:r>
    </w:p>
    <w:p w:rsidR="00337F3D" w:rsidRPr="00337F3D" w:rsidRDefault="007C6863" w:rsidP="00337F3D">
      <w:pPr>
        <w:spacing w:line="360" w:lineRule="auto"/>
        <w:jc w:val="center"/>
        <w:rPr>
          <w:b/>
          <w:sz w:val="24"/>
          <w:szCs w:val="24"/>
          <w:lang w:val="en-US"/>
        </w:rPr>
      </w:pPr>
      <w:r w:rsidRPr="00337F3D">
        <w:rPr>
          <w:rFonts w:cs="Times New Roman"/>
          <w:sz w:val="24"/>
          <w:szCs w:val="24"/>
          <w:lang w:val="en-US"/>
        </w:rPr>
        <w:cr/>
      </w:r>
      <w:r w:rsidR="00337F3D" w:rsidRPr="00337F3D">
        <w:rPr>
          <w:b/>
          <w:sz w:val="24"/>
          <w:szCs w:val="24"/>
          <w:lang w:val="en-US"/>
        </w:rPr>
        <w:t xml:space="preserve"> </w:t>
      </w:r>
      <w:r w:rsidR="00337F3D">
        <w:rPr>
          <w:b/>
          <w:sz w:val="24"/>
          <w:szCs w:val="24"/>
        </w:rPr>
        <w:t>Информация</w:t>
      </w:r>
      <w:r w:rsidR="00337F3D" w:rsidRPr="00337F3D">
        <w:rPr>
          <w:b/>
          <w:sz w:val="24"/>
          <w:szCs w:val="24"/>
          <w:lang w:val="en-US"/>
        </w:rPr>
        <w:t xml:space="preserve"> </w:t>
      </w:r>
      <w:r w:rsidR="00337F3D">
        <w:rPr>
          <w:b/>
          <w:sz w:val="24"/>
          <w:szCs w:val="24"/>
        </w:rPr>
        <w:t>об</w:t>
      </w:r>
      <w:r w:rsidR="00337F3D" w:rsidRPr="00337F3D">
        <w:rPr>
          <w:b/>
          <w:sz w:val="24"/>
          <w:szCs w:val="24"/>
          <w:lang w:val="en-US"/>
        </w:rPr>
        <w:t xml:space="preserve"> </w:t>
      </w:r>
      <w:r w:rsidR="00337F3D">
        <w:rPr>
          <w:b/>
          <w:sz w:val="24"/>
          <w:szCs w:val="24"/>
        </w:rPr>
        <w:t>авторе</w:t>
      </w:r>
      <w:r w:rsidR="00337F3D" w:rsidRPr="00337F3D">
        <w:rPr>
          <w:b/>
          <w:sz w:val="24"/>
          <w:szCs w:val="24"/>
          <w:lang w:val="en-US"/>
        </w:rPr>
        <w:t xml:space="preserve">  </w:t>
      </w:r>
      <w:r w:rsidR="00337F3D">
        <w:rPr>
          <w:b/>
          <w:sz w:val="24"/>
          <w:szCs w:val="24"/>
        </w:rPr>
        <w:t>на</w:t>
      </w:r>
      <w:r w:rsidR="00337F3D" w:rsidRPr="00337F3D">
        <w:rPr>
          <w:b/>
          <w:sz w:val="24"/>
          <w:szCs w:val="24"/>
          <w:lang w:val="en-US"/>
        </w:rPr>
        <w:t xml:space="preserve"> </w:t>
      </w:r>
      <w:r w:rsidR="00337F3D">
        <w:rPr>
          <w:b/>
          <w:sz w:val="24"/>
          <w:szCs w:val="24"/>
        </w:rPr>
        <w:t>английском</w:t>
      </w:r>
      <w:r w:rsidR="00337F3D" w:rsidRPr="00337F3D">
        <w:rPr>
          <w:b/>
          <w:sz w:val="24"/>
          <w:szCs w:val="24"/>
          <w:lang w:val="en-US"/>
        </w:rPr>
        <w:t xml:space="preserve"> </w:t>
      </w:r>
      <w:r w:rsidR="00337F3D">
        <w:rPr>
          <w:b/>
          <w:sz w:val="24"/>
          <w:szCs w:val="24"/>
        </w:rPr>
        <w:t>языке</w:t>
      </w:r>
    </w:p>
    <w:p w:rsidR="00337F3D" w:rsidRPr="00934A0B" w:rsidRDefault="00337F3D" w:rsidP="00337F3D">
      <w:pPr>
        <w:spacing w:line="360" w:lineRule="auto"/>
        <w:ind w:firstLine="709"/>
        <w:jc w:val="both"/>
        <w:rPr>
          <w:sz w:val="24"/>
          <w:szCs w:val="24"/>
          <w:lang w:val="en-US" w:eastAsia="ru-RU"/>
        </w:rPr>
      </w:pPr>
      <w:r w:rsidRPr="00934A0B">
        <w:rPr>
          <w:sz w:val="24"/>
          <w:szCs w:val="24"/>
          <w:lang w:val="en-US" w:eastAsia="ru-RU"/>
        </w:rPr>
        <w:t>Bessarabov Vladislav Olegovich (Donetsk People's Republic, Donetsk) - Assistant of the Accounting Department of the State Organization of Higher Professional Education «Donetsk National University of Economics and Trade named after Mikhail Tugan-Baranovsky» (283050, Donetsk, Shchorsa 31, bessarabov93@gmail.com ).</w:t>
      </w:r>
    </w:p>
    <w:p w:rsidR="007C6863" w:rsidRPr="00337F3D" w:rsidRDefault="007C6863" w:rsidP="00613F6A">
      <w:pPr>
        <w:spacing w:line="360" w:lineRule="auto"/>
        <w:jc w:val="both"/>
        <w:rPr>
          <w:rFonts w:cs="Times New Roman"/>
          <w:sz w:val="24"/>
          <w:szCs w:val="24"/>
          <w:lang w:val="en-US"/>
        </w:rPr>
      </w:pPr>
    </w:p>
    <w:sectPr w:rsidR="007C6863" w:rsidRPr="00337F3D" w:rsidSect="00613F6A">
      <w:pgSz w:w="11906" w:h="16838"/>
      <w:pgMar w:top="1134" w:right="1134" w:bottom="1134" w:left="1134" w:header="709" w:footer="709"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839AF" w:rsidRDefault="00C839AF" w:rsidP="007038E2">
      <w:r>
        <w:separator/>
      </w:r>
    </w:p>
  </w:endnote>
  <w:endnote w:type="continuationSeparator" w:id="0">
    <w:p w:rsidR="00C839AF" w:rsidRDefault="00C839AF" w:rsidP="007038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839AF" w:rsidRDefault="00C839AF" w:rsidP="007038E2">
      <w:r>
        <w:separator/>
      </w:r>
    </w:p>
  </w:footnote>
  <w:footnote w:type="continuationSeparator" w:id="0">
    <w:p w:rsidR="00C839AF" w:rsidRDefault="00C839AF" w:rsidP="007038E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8D5337"/>
    <w:multiLevelType w:val="multilevel"/>
    <w:tmpl w:val="41B2B9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560290B"/>
    <w:multiLevelType w:val="hybridMultilevel"/>
    <w:tmpl w:val="A4909B62"/>
    <w:lvl w:ilvl="0" w:tplc="9892B3F8">
      <w:start w:val="1"/>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nsid w:val="1AAC7474"/>
    <w:multiLevelType w:val="hybridMultilevel"/>
    <w:tmpl w:val="AC0013DE"/>
    <w:lvl w:ilvl="0" w:tplc="9892B3F8">
      <w:start w:val="1"/>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nsid w:val="3AF639CB"/>
    <w:multiLevelType w:val="hybridMultilevel"/>
    <w:tmpl w:val="CBECCD2A"/>
    <w:lvl w:ilvl="0" w:tplc="04190011">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4989560F"/>
    <w:multiLevelType w:val="hybridMultilevel"/>
    <w:tmpl w:val="9A58B8D8"/>
    <w:lvl w:ilvl="0" w:tplc="9892B3F8">
      <w:start w:val="1"/>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nsid w:val="4AFC636A"/>
    <w:multiLevelType w:val="hybridMultilevel"/>
    <w:tmpl w:val="50E61C2A"/>
    <w:lvl w:ilvl="0" w:tplc="9892B3F8">
      <w:start w:val="1"/>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
    <w:nsid w:val="52845F81"/>
    <w:multiLevelType w:val="hybridMultilevel"/>
    <w:tmpl w:val="ADFC4EE4"/>
    <w:lvl w:ilvl="0" w:tplc="2C3AFD56">
      <w:start w:val="1"/>
      <w:numFmt w:val="decimal"/>
      <w:lvlText w:val="%1."/>
      <w:lvlJc w:val="left"/>
      <w:pPr>
        <w:ind w:left="360" w:hanging="360"/>
      </w:pPr>
      <w:rPr>
        <w:rFonts w:ascii="Times New Roman" w:hAnsi="Times New Roman" w:cs="Times New Roman" w:hint="default"/>
        <w:b w:val="0"/>
        <w:sz w:val="28"/>
        <w:szCs w:val="28"/>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7">
    <w:nsid w:val="5787234F"/>
    <w:multiLevelType w:val="hybridMultilevel"/>
    <w:tmpl w:val="87E87616"/>
    <w:lvl w:ilvl="0" w:tplc="9892B3F8">
      <w:start w:val="1"/>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
    <w:nsid w:val="5947515C"/>
    <w:multiLevelType w:val="hybridMultilevel"/>
    <w:tmpl w:val="F6CC9974"/>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9">
    <w:nsid w:val="5DEB4DAB"/>
    <w:multiLevelType w:val="hybridMultilevel"/>
    <w:tmpl w:val="99D4CE7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0">
    <w:nsid w:val="61EB4E31"/>
    <w:multiLevelType w:val="hybridMultilevel"/>
    <w:tmpl w:val="F42AA8D2"/>
    <w:lvl w:ilvl="0" w:tplc="9892B3F8">
      <w:start w:val="1"/>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1">
    <w:nsid w:val="6DFD64EE"/>
    <w:multiLevelType w:val="hybridMultilevel"/>
    <w:tmpl w:val="75CC6DE4"/>
    <w:lvl w:ilvl="0" w:tplc="5F06FED8">
      <w:start w:val="1"/>
      <w:numFmt w:val="decimal"/>
      <w:lvlText w:val="%1."/>
      <w:lvlJc w:val="left"/>
      <w:pPr>
        <w:tabs>
          <w:tab w:val="num" w:pos="0"/>
        </w:tabs>
        <w:ind w:left="0" w:firstLine="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79B61831"/>
    <w:multiLevelType w:val="hybridMultilevel"/>
    <w:tmpl w:val="0560A3BA"/>
    <w:lvl w:ilvl="0" w:tplc="04190011">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3">
    <w:nsid w:val="7D626A43"/>
    <w:multiLevelType w:val="hybridMultilevel"/>
    <w:tmpl w:val="C9067D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7"/>
  </w:num>
  <w:num w:numId="2">
    <w:abstractNumId w:val="10"/>
  </w:num>
  <w:num w:numId="3">
    <w:abstractNumId w:val="1"/>
  </w:num>
  <w:num w:numId="4">
    <w:abstractNumId w:val="4"/>
  </w:num>
  <w:num w:numId="5">
    <w:abstractNumId w:val="13"/>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5"/>
  </w:num>
  <w:num w:numId="9">
    <w:abstractNumId w:val="2"/>
  </w:num>
  <w:num w:numId="10">
    <w:abstractNumId w:val="12"/>
  </w:num>
  <w:num w:numId="11">
    <w:abstractNumId w:val="11"/>
  </w:num>
  <w:num w:numId="12">
    <w:abstractNumId w:val="0"/>
  </w:num>
  <w:num w:numId="13">
    <w:abstractNumId w:val="9"/>
  </w:num>
  <w:num w:numId="14">
    <w:abstractNumId w:val="3"/>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2A8F"/>
    <w:rsid w:val="00003A2B"/>
    <w:rsid w:val="00013A03"/>
    <w:rsid w:val="000164B2"/>
    <w:rsid w:val="00050D4D"/>
    <w:rsid w:val="00060B5C"/>
    <w:rsid w:val="000820B9"/>
    <w:rsid w:val="0009674B"/>
    <w:rsid w:val="0009789D"/>
    <w:rsid w:val="000A63C0"/>
    <w:rsid w:val="000B3FE0"/>
    <w:rsid w:val="000F373D"/>
    <w:rsid w:val="00106737"/>
    <w:rsid w:val="00120EF6"/>
    <w:rsid w:val="00123598"/>
    <w:rsid w:val="00137537"/>
    <w:rsid w:val="00143407"/>
    <w:rsid w:val="001838FE"/>
    <w:rsid w:val="0019344C"/>
    <w:rsid w:val="00197678"/>
    <w:rsid w:val="0019791F"/>
    <w:rsid w:val="001A028F"/>
    <w:rsid w:val="001A0631"/>
    <w:rsid w:val="001D09D7"/>
    <w:rsid w:val="001D6AC9"/>
    <w:rsid w:val="001E5426"/>
    <w:rsid w:val="001F1BB9"/>
    <w:rsid w:val="00225130"/>
    <w:rsid w:val="0022693C"/>
    <w:rsid w:val="002328E5"/>
    <w:rsid w:val="002527E7"/>
    <w:rsid w:val="00254A96"/>
    <w:rsid w:val="002611DE"/>
    <w:rsid w:val="00283FAC"/>
    <w:rsid w:val="002879A9"/>
    <w:rsid w:val="002A0694"/>
    <w:rsid w:val="002A734C"/>
    <w:rsid w:val="002B211E"/>
    <w:rsid w:val="002B5902"/>
    <w:rsid w:val="002D1081"/>
    <w:rsid w:val="002E15BC"/>
    <w:rsid w:val="002E2C4C"/>
    <w:rsid w:val="002F303F"/>
    <w:rsid w:val="002F747D"/>
    <w:rsid w:val="00322BDB"/>
    <w:rsid w:val="00324FA1"/>
    <w:rsid w:val="00337F3D"/>
    <w:rsid w:val="00340558"/>
    <w:rsid w:val="0037026E"/>
    <w:rsid w:val="00386007"/>
    <w:rsid w:val="003902D9"/>
    <w:rsid w:val="003A319A"/>
    <w:rsid w:val="003F5C4F"/>
    <w:rsid w:val="00416A0C"/>
    <w:rsid w:val="00430C4F"/>
    <w:rsid w:val="004544FD"/>
    <w:rsid w:val="004665D2"/>
    <w:rsid w:val="00494BAC"/>
    <w:rsid w:val="004A7B4C"/>
    <w:rsid w:val="004B4B98"/>
    <w:rsid w:val="004C1B5C"/>
    <w:rsid w:val="004D6405"/>
    <w:rsid w:val="005101EC"/>
    <w:rsid w:val="00513B4B"/>
    <w:rsid w:val="005319F8"/>
    <w:rsid w:val="00557674"/>
    <w:rsid w:val="00562E0D"/>
    <w:rsid w:val="00580678"/>
    <w:rsid w:val="005947DA"/>
    <w:rsid w:val="005A0D0D"/>
    <w:rsid w:val="005E3FB7"/>
    <w:rsid w:val="005F62C4"/>
    <w:rsid w:val="00607D5F"/>
    <w:rsid w:val="00613F6A"/>
    <w:rsid w:val="00674850"/>
    <w:rsid w:val="006758B4"/>
    <w:rsid w:val="00676DAE"/>
    <w:rsid w:val="006809E2"/>
    <w:rsid w:val="00692427"/>
    <w:rsid w:val="006961A8"/>
    <w:rsid w:val="00696AF2"/>
    <w:rsid w:val="006A2476"/>
    <w:rsid w:val="006A49D3"/>
    <w:rsid w:val="006B46C4"/>
    <w:rsid w:val="006C3256"/>
    <w:rsid w:val="006E0801"/>
    <w:rsid w:val="006E29BD"/>
    <w:rsid w:val="006E3175"/>
    <w:rsid w:val="007038E2"/>
    <w:rsid w:val="007056CC"/>
    <w:rsid w:val="00710365"/>
    <w:rsid w:val="00721F28"/>
    <w:rsid w:val="00792911"/>
    <w:rsid w:val="007A0D33"/>
    <w:rsid w:val="007A5466"/>
    <w:rsid w:val="007A7D29"/>
    <w:rsid w:val="007B1217"/>
    <w:rsid w:val="007C6863"/>
    <w:rsid w:val="007F1D0B"/>
    <w:rsid w:val="00823255"/>
    <w:rsid w:val="0084130D"/>
    <w:rsid w:val="008458E4"/>
    <w:rsid w:val="00871F87"/>
    <w:rsid w:val="008818BF"/>
    <w:rsid w:val="0088215C"/>
    <w:rsid w:val="008835D5"/>
    <w:rsid w:val="008A3FB5"/>
    <w:rsid w:val="008C1269"/>
    <w:rsid w:val="008C1A17"/>
    <w:rsid w:val="008C2049"/>
    <w:rsid w:val="008D37A2"/>
    <w:rsid w:val="008E55A5"/>
    <w:rsid w:val="008F0E65"/>
    <w:rsid w:val="00934A0B"/>
    <w:rsid w:val="00935F28"/>
    <w:rsid w:val="00952EE1"/>
    <w:rsid w:val="009562A3"/>
    <w:rsid w:val="00985C8E"/>
    <w:rsid w:val="00986686"/>
    <w:rsid w:val="00A167F3"/>
    <w:rsid w:val="00A235DC"/>
    <w:rsid w:val="00A652EA"/>
    <w:rsid w:val="00A771E8"/>
    <w:rsid w:val="00A84C0D"/>
    <w:rsid w:val="00AE2F9A"/>
    <w:rsid w:val="00AE46FC"/>
    <w:rsid w:val="00AE7400"/>
    <w:rsid w:val="00B07D67"/>
    <w:rsid w:val="00B12A8F"/>
    <w:rsid w:val="00B60C6A"/>
    <w:rsid w:val="00B83C74"/>
    <w:rsid w:val="00B8521B"/>
    <w:rsid w:val="00B91D5A"/>
    <w:rsid w:val="00B96AC8"/>
    <w:rsid w:val="00BB2FBC"/>
    <w:rsid w:val="00BB3C23"/>
    <w:rsid w:val="00BB4965"/>
    <w:rsid w:val="00BB6381"/>
    <w:rsid w:val="00BE597B"/>
    <w:rsid w:val="00BF196E"/>
    <w:rsid w:val="00BF2C5A"/>
    <w:rsid w:val="00C12198"/>
    <w:rsid w:val="00C244C3"/>
    <w:rsid w:val="00C632C8"/>
    <w:rsid w:val="00C652DE"/>
    <w:rsid w:val="00C65A2C"/>
    <w:rsid w:val="00C718FA"/>
    <w:rsid w:val="00C839AF"/>
    <w:rsid w:val="00C9205F"/>
    <w:rsid w:val="00C9356B"/>
    <w:rsid w:val="00C95E4D"/>
    <w:rsid w:val="00CA74C9"/>
    <w:rsid w:val="00CB48A2"/>
    <w:rsid w:val="00D02D16"/>
    <w:rsid w:val="00D71BA7"/>
    <w:rsid w:val="00D843D3"/>
    <w:rsid w:val="00D939CA"/>
    <w:rsid w:val="00DF06FD"/>
    <w:rsid w:val="00DF6119"/>
    <w:rsid w:val="00E12C02"/>
    <w:rsid w:val="00E15C89"/>
    <w:rsid w:val="00E3099D"/>
    <w:rsid w:val="00E34A07"/>
    <w:rsid w:val="00E43AD7"/>
    <w:rsid w:val="00E55631"/>
    <w:rsid w:val="00E56231"/>
    <w:rsid w:val="00E77C1B"/>
    <w:rsid w:val="00E86B7D"/>
    <w:rsid w:val="00E9651C"/>
    <w:rsid w:val="00E96713"/>
    <w:rsid w:val="00EA1B2A"/>
    <w:rsid w:val="00EA257E"/>
    <w:rsid w:val="00EA4AAE"/>
    <w:rsid w:val="00EB2162"/>
    <w:rsid w:val="00EB2326"/>
    <w:rsid w:val="00EC56BB"/>
    <w:rsid w:val="00ED158C"/>
    <w:rsid w:val="00EE40EB"/>
    <w:rsid w:val="00EF2BB0"/>
    <w:rsid w:val="00F348EE"/>
    <w:rsid w:val="00F416EC"/>
    <w:rsid w:val="00F47039"/>
    <w:rsid w:val="00F7359B"/>
    <w:rsid w:val="00F84688"/>
    <w:rsid w:val="00FE7D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026D3A1-2DF8-4EEF-B0B5-1EE2419D0F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96AF2"/>
    <w:pPr>
      <w:spacing w:after="0"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E2F9A"/>
    <w:pPr>
      <w:suppressAutoHyphens/>
      <w:ind w:left="720"/>
      <w:contextualSpacing/>
      <w:jc w:val="both"/>
    </w:pPr>
    <w:rPr>
      <w:rFonts w:eastAsia="Times New Roman" w:cs="Times New Roman"/>
      <w:szCs w:val="24"/>
      <w:lang w:eastAsia="zh-CN"/>
    </w:rPr>
  </w:style>
  <w:style w:type="table" w:styleId="a4">
    <w:name w:val="Table Grid"/>
    <w:basedOn w:val="a1"/>
    <w:uiPriority w:val="59"/>
    <w:rsid w:val="005947D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caption"/>
    <w:basedOn w:val="a"/>
    <w:next w:val="a"/>
    <w:uiPriority w:val="35"/>
    <w:unhideWhenUsed/>
    <w:qFormat/>
    <w:rsid w:val="005947DA"/>
    <w:pPr>
      <w:spacing w:after="200"/>
    </w:pPr>
    <w:rPr>
      <w:b/>
      <w:bCs/>
      <w:color w:val="4F81BD" w:themeColor="accent1"/>
      <w:sz w:val="18"/>
      <w:szCs w:val="18"/>
    </w:rPr>
  </w:style>
  <w:style w:type="paragraph" w:styleId="a6">
    <w:name w:val="footnote text"/>
    <w:basedOn w:val="a"/>
    <w:link w:val="a7"/>
    <w:uiPriority w:val="99"/>
    <w:semiHidden/>
    <w:unhideWhenUsed/>
    <w:rsid w:val="007038E2"/>
    <w:rPr>
      <w:sz w:val="20"/>
      <w:szCs w:val="20"/>
    </w:rPr>
  </w:style>
  <w:style w:type="character" w:customStyle="1" w:styleId="a7">
    <w:name w:val="Текст сноски Знак"/>
    <w:basedOn w:val="a0"/>
    <w:link w:val="a6"/>
    <w:uiPriority w:val="99"/>
    <w:semiHidden/>
    <w:rsid w:val="007038E2"/>
    <w:rPr>
      <w:rFonts w:ascii="Times New Roman" w:hAnsi="Times New Roman"/>
      <w:sz w:val="20"/>
      <w:szCs w:val="20"/>
    </w:rPr>
  </w:style>
  <w:style w:type="character" w:styleId="a8">
    <w:name w:val="footnote reference"/>
    <w:basedOn w:val="a0"/>
    <w:uiPriority w:val="99"/>
    <w:semiHidden/>
    <w:unhideWhenUsed/>
    <w:rsid w:val="007038E2"/>
    <w:rPr>
      <w:vertAlign w:val="superscript"/>
    </w:rPr>
  </w:style>
  <w:style w:type="paragraph" w:styleId="a9">
    <w:name w:val="endnote text"/>
    <w:basedOn w:val="a"/>
    <w:link w:val="aa"/>
    <w:uiPriority w:val="99"/>
    <w:semiHidden/>
    <w:unhideWhenUsed/>
    <w:rsid w:val="00935F28"/>
    <w:rPr>
      <w:sz w:val="20"/>
      <w:szCs w:val="20"/>
    </w:rPr>
  </w:style>
  <w:style w:type="character" w:customStyle="1" w:styleId="aa">
    <w:name w:val="Текст концевой сноски Знак"/>
    <w:basedOn w:val="a0"/>
    <w:link w:val="a9"/>
    <w:uiPriority w:val="99"/>
    <w:semiHidden/>
    <w:rsid w:val="00935F28"/>
    <w:rPr>
      <w:rFonts w:ascii="Times New Roman" w:hAnsi="Times New Roman"/>
      <w:sz w:val="20"/>
      <w:szCs w:val="20"/>
    </w:rPr>
  </w:style>
  <w:style w:type="character" w:styleId="ab">
    <w:name w:val="endnote reference"/>
    <w:basedOn w:val="a0"/>
    <w:uiPriority w:val="99"/>
    <w:semiHidden/>
    <w:unhideWhenUsed/>
    <w:rsid w:val="00935F28"/>
    <w:rPr>
      <w:vertAlign w:val="superscript"/>
    </w:rPr>
  </w:style>
  <w:style w:type="paragraph" w:styleId="ac">
    <w:name w:val="header"/>
    <w:basedOn w:val="a"/>
    <w:link w:val="ad"/>
    <w:uiPriority w:val="99"/>
    <w:unhideWhenUsed/>
    <w:rsid w:val="0019344C"/>
    <w:pPr>
      <w:tabs>
        <w:tab w:val="center" w:pos="4677"/>
        <w:tab w:val="right" w:pos="9355"/>
      </w:tabs>
    </w:pPr>
  </w:style>
  <w:style w:type="character" w:customStyle="1" w:styleId="ad">
    <w:name w:val="Верхний колонтитул Знак"/>
    <w:basedOn w:val="a0"/>
    <w:link w:val="ac"/>
    <w:uiPriority w:val="99"/>
    <w:rsid w:val="0019344C"/>
    <w:rPr>
      <w:rFonts w:ascii="Times New Roman" w:hAnsi="Times New Roman"/>
      <w:sz w:val="28"/>
    </w:rPr>
  </w:style>
  <w:style w:type="paragraph" w:styleId="ae">
    <w:name w:val="footer"/>
    <w:basedOn w:val="a"/>
    <w:link w:val="af"/>
    <w:uiPriority w:val="99"/>
    <w:unhideWhenUsed/>
    <w:rsid w:val="0019344C"/>
    <w:pPr>
      <w:tabs>
        <w:tab w:val="center" w:pos="4677"/>
        <w:tab w:val="right" w:pos="9355"/>
      </w:tabs>
    </w:pPr>
  </w:style>
  <w:style w:type="character" w:customStyle="1" w:styleId="af">
    <w:name w:val="Нижний колонтитул Знак"/>
    <w:basedOn w:val="a0"/>
    <w:link w:val="ae"/>
    <w:uiPriority w:val="99"/>
    <w:rsid w:val="0019344C"/>
    <w:rPr>
      <w:rFonts w:ascii="Times New Roman" w:hAnsi="Times New Roman"/>
      <w:sz w:val="28"/>
    </w:rPr>
  </w:style>
  <w:style w:type="character" w:styleId="af0">
    <w:name w:val="Hyperlink"/>
    <w:basedOn w:val="a0"/>
    <w:uiPriority w:val="99"/>
    <w:unhideWhenUsed/>
    <w:rsid w:val="00F84688"/>
    <w:rPr>
      <w:color w:val="0000FF" w:themeColor="hyperlink"/>
      <w:u w:val="single"/>
    </w:rPr>
  </w:style>
  <w:style w:type="paragraph" w:customStyle="1" w:styleId="Style8">
    <w:name w:val="Style8"/>
    <w:basedOn w:val="a"/>
    <w:rsid w:val="00197678"/>
    <w:pPr>
      <w:widowControl w:val="0"/>
      <w:autoSpaceDE w:val="0"/>
      <w:autoSpaceDN w:val="0"/>
      <w:adjustRightInd w:val="0"/>
      <w:spacing w:line="277" w:lineRule="exact"/>
      <w:ind w:firstLine="706"/>
      <w:jc w:val="both"/>
    </w:pPr>
    <w:rPr>
      <w:rFonts w:eastAsia="Times New Roman" w:cs="Times New Roman"/>
      <w:sz w:val="24"/>
      <w:szCs w:val="24"/>
      <w:lang w:eastAsia="ru-RU"/>
    </w:rPr>
  </w:style>
  <w:style w:type="character" w:customStyle="1" w:styleId="FontStyle23">
    <w:name w:val="Font Style23"/>
    <w:basedOn w:val="a0"/>
    <w:rsid w:val="00197678"/>
    <w:rPr>
      <w:rFonts w:ascii="Times New Roman" w:hAnsi="Times New Roman" w:cs="Times New Roman"/>
      <w:sz w:val="22"/>
      <w:szCs w:val="22"/>
    </w:rPr>
  </w:style>
  <w:style w:type="paragraph" w:customStyle="1" w:styleId="Style16">
    <w:name w:val="Style16"/>
    <w:basedOn w:val="a"/>
    <w:rsid w:val="00197678"/>
    <w:pPr>
      <w:widowControl w:val="0"/>
      <w:autoSpaceDE w:val="0"/>
      <w:autoSpaceDN w:val="0"/>
      <w:adjustRightInd w:val="0"/>
      <w:spacing w:line="230" w:lineRule="exact"/>
      <w:ind w:hanging="562"/>
    </w:pPr>
    <w:rPr>
      <w:rFonts w:eastAsia="Times New Roman" w:cs="Times New Roman"/>
      <w:sz w:val="24"/>
      <w:szCs w:val="24"/>
      <w:lang w:eastAsia="ru-RU"/>
    </w:rPr>
  </w:style>
  <w:style w:type="character" w:customStyle="1" w:styleId="FontStyle29">
    <w:name w:val="Font Style29"/>
    <w:basedOn w:val="a0"/>
    <w:rsid w:val="00197678"/>
    <w:rPr>
      <w:rFonts w:ascii="Times New Roman" w:hAnsi="Times New Roman" w:cs="Times New Roman"/>
      <w:sz w:val="20"/>
      <w:szCs w:val="20"/>
    </w:rPr>
  </w:style>
  <w:style w:type="paragraph" w:customStyle="1" w:styleId="rvps33">
    <w:name w:val="rvps33"/>
    <w:basedOn w:val="a"/>
    <w:uiPriority w:val="99"/>
    <w:rsid w:val="00613F6A"/>
    <w:pPr>
      <w:spacing w:before="100" w:beforeAutospacing="1" w:after="100" w:afterAutospacing="1"/>
    </w:pPr>
    <w:rPr>
      <w:rFonts w:eastAsia="Times New Roman" w:cs="Times New Roman"/>
      <w:sz w:val="24"/>
      <w:szCs w:val="24"/>
      <w:lang w:eastAsia="ru-RU"/>
    </w:rPr>
  </w:style>
  <w:style w:type="paragraph" w:customStyle="1" w:styleId="rvps26">
    <w:name w:val="rvps26"/>
    <w:basedOn w:val="a"/>
    <w:uiPriority w:val="99"/>
    <w:rsid w:val="00613F6A"/>
    <w:pPr>
      <w:spacing w:before="100" w:beforeAutospacing="1" w:after="100" w:afterAutospacing="1"/>
    </w:pPr>
    <w:rPr>
      <w:rFonts w:eastAsia="Times New Roman" w:cs="Times New Roman"/>
      <w:sz w:val="24"/>
      <w:szCs w:val="24"/>
      <w:lang w:eastAsia="ru-RU"/>
    </w:rPr>
  </w:style>
  <w:style w:type="paragraph" w:customStyle="1" w:styleId="rvps34">
    <w:name w:val="rvps34"/>
    <w:basedOn w:val="a"/>
    <w:uiPriority w:val="99"/>
    <w:rsid w:val="00613F6A"/>
    <w:pPr>
      <w:spacing w:before="100" w:beforeAutospacing="1" w:after="100" w:afterAutospacing="1"/>
    </w:pPr>
    <w:rPr>
      <w:rFonts w:eastAsia="Times New Roman" w:cs="Times New Roman"/>
      <w:sz w:val="24"/>
      <w:szCs w:val="24"/>
      <w:lang w:eastAsia="ru-RU"/>
    </w:rPr>
  </w:style>
  <w:style w:type="paragraph" w:customStyle="1" w:styleId="rvps24">
    <w:name w:val="rvps24"/>
    <w:basedOn w:val="a"/>
    <w:uiPriority w:val="99"/>
    <w:rsid w:val="00613F6A"/>
    <w:pPr>
      <w:spacing w:before="100" w:beforeAutospacing="1" w:after="100" w:afterAutospacing="1"/>
    </w:pPr>
    <w:rPr>
      <w:rFonts w:eastAsia="Times New Roman" w:cs="Times New Roman"/>
      <w:sz w:val="24"/>
      <w:szCs w:val="24"/>
      <w:lang w:eastAsia="ru-RU"/>
    </w:rPr>
  </w:style>
  <w:style w:type="character" w:customStyle="1" w:styleId="rvts52">
    <w:name w:val="rvts52"/>
    <w:basedOn w:val="a0"/>
    <w:uiPriority w:val="99"/>
    <w:rsid w:val="00613F6A"/>
    <w:rPr>
      <w:rFonts w:ascii="Times New Roman" w:hAnsi="Times New Roman" w:cs="Times New Roman" w:hint="default"/>
    </w:rPr>
  </w:style>
  <w:style w:type="character" w:customStyle="1" w:styleId="rvts1">
    <w:name w:val="rvts1"/>
    <w:basedOn w:val="a0"/>
    <w:uiPriority w:val="99"/>
    <w:rsid w:val="00613F6A"/>
    <w:rPr>
      <w:rFonts w:ascii="Times New Roman" w:hAnsi="Times New Roman" w:cs="Times New Roman" w:hint="default"/>
    </w:rPr>
  </w:style>
  <w:style w:type="character" w:customStyle="1" w:styleId="rvts53">
    <w:name w:val="rvts53"/>
    <w:basedOn w:val="a0"/>
    <w:uiPriority w:val="99"/>
    <w:rsid w:val="00613F6A"/>
    <w:rPr>
      <w:rFonts w:ascii="Times New Roman" w:hAnsi="Times New Roman" w:cs="Times New Roman" w:hint="default"/>
    </w:rPr>
  </w:style>
  <w:style w:type="character" w:customStyle="1" w:styleId="rvts54">
    <w:name w:val="rvts54"/>
    <w:basedOn w:val="a0"/>
    <w:uiPriority w:val="99"/>
    <w:rsid w:val="00613F6A"/>
    <w:rPr>
      <w:rFonts w:ascii="Times New Roman" w:hAnsi="Times New Roman" w:cs="Times New Roman" w:hint="default"/>
    </w:rPr>
  </w:style>
  <w:style w:type="character" w:customStyle="1" w:styleId="rvts55">
    <w:name w:val="rvts55"/>
    <w:basedOn w:val="a0"/>
    <w:uiPriority w:val="99"/>
    <w:rsid w:val="00613F6A"/>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4276637">
      <w:bodyDiv w:val="1"/>
      <w:marLeft w:val="0"/>
      <w:marRight w:val="0"/>
      <w:marTop w:val="0"/>
      <w:marBottom w:val="0"/>
      <w:divBdr>
        <w:top w:val="none" w:sz="0" w:space="0" w:color="auto"/>
        <w:left w:val="none" w:sz="0" w:space="0" w:color="auto"/>
        <w:bottom w:val="none" w:sz="0" w:space="0" w:color="auto"/>
        <w:right w:val="none" w:sz="0" w:space="0" w:color="auto"/>
      </w:divBdr>
    </w:div>
    <w:div w:id="864515277">
      <w:bodyDiv w:val="1"/>
      <w:marLeft w:val="0"/>
      <w:marRight w:val="0"/>
      <w:marTop w:val="0"/>
      <w:marBottom w:val="0"/>
      <w:divBdr>
        <w:top w:val="none" w:sz="0" w:space="0" w:color="auto"/>
        <w:left w:val="none" w:sz="0" w:space="0" w:color="auto"/>
        <w:bottom w:val="none" w:sz="0" w:space="0" w:color="auto"/>
        <w:right w:val="none" w:sz="0" w:space="0" w:color="auto"/>
      </w:divBdr>
    </w:div>
    <w:div w:id="1573153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62EB8D-F9E0-4863-9D9F-AC2BDD4843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2146</Words>
  <Characters>12233</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Екатерина Георгиевна Леонидова</cp:lastModifiedBy>
  <cp:revision>2</cp:revision>
  <dcterms:created xsi:type="dcterms:W3CDTF">2019-04-26T06:06:00Z</dcterms:created>
  <dcterms:modified xsi:type="dcterms:W3CDTF">2019-04-26T06:06:00Z</dcterms:modified>
</cp:coreProperties>
</file>