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1CD" w:rsidRDefault="005541CD" w:rsidP="005541CD">
      <w:pPr>
        <w:pStyle w:val="1"/>
        <w:spacing w:after="0" w:line="240" w:lineRule="auto"/>
        <w:ind w:left="0" w:firstLine="709"/>
        <w:rPr>
          <w:rFonts w:ascii="Times New Roman" w:hAnsi="Times New Roman"/>
          <w:color w:val="000000" w:themeColor="text1"/>
          <w:sz w:val="24"/>
          <w:szCs w:val="24"/>
        </w:rPr>
      </w:pPr>
      <w:bookmarkStart w:id="0" w:name="_GoBack"/>
      <w:bookmarkEnd w:id="0"/>
      <w:r w:rsidRPr="005541CD">
        <w:rPr>
          <w:rFonts w:ascii="Times New Roman" w:hAnsi="Times New Roman"/>
          <w:color w:val="000000" w:themeColor="text1"/>
          <w:sz w:val="24"/>
          <w:szCs w:val="24"/>
        </w:rPr>
        <w:t>УДК 332</w:t>
      </w:r>
    </w:p>
    <w:p w:rsidR="005541CD" w:rsidRPr="005541CD" w:rsidRDefault="005541CD" w:rsidP="005541CD">
      <w:pPr>
        <w:spacing w:after="0" w:line="240" w:lineRule="auto"/>
        <w:ind w:firstLine="709"/>
        <w:jc w:val="right"/>
        <w:rPr>
          <w:rFonts w:ascii="Times New Roman" w:hAnsi="Times New Roman"/>
          <w:b/>
          <w:sz w:val="24"/>
          <w:szCs w:val="24"/>
        </w:rPr>
      </w:pPr>
      <w:r w:rsidRPr="005541CD">
        <w:rPr>
          <w:rFonts w:ascii="Times New Roman" w:hAnsi="Times New Roman"/>
          <w:b/>
          <w:sz w:val="24"/>
          <w:szCs w:val="24"/>
        </w:rPr>
        <w:t>Мухаметова А.Д.</w:t>
      </w:r>
    </w:p>
    <w:p w:rsidR="005541CD" w:rsidRPr="005541CD" w:rsidRDefault="005541CD" w:rsidP="005541CD">
      <w:pPr>
        <w:pStyle w:val="1"/>
        <w:spacing w:after="0" w:line="240" w:lineRule="auto"/>
        <w:ind w:left="0" w:firstLine="709"/>
        <w:jc w:val="right"/>
        <w:rPr>
          <w:rFonts w:ascii="Times New Roman" w:hAnsi="Times New Roman"/>
          <w:color w:val="000000" w:themeColor="text1"/>
          <w:sz w:val="24"/>
          <w:szCs w:val="24"/>
        </w:rPr>
      </w:pPr>
    </w:p>
    <w:p w:rsidR="00201CAC" w:rsidRPr="005541CD" w:rsidRDefault="005541CD" w:rsidP="005541CD">
      <w:pPr>
        <w:pStyle w:val="1"/>
        <w:spacing w:after="0" w:line="240" w:lineRule="auto"/>
        <w:ind w:left="0" w:firstLine="709"/>
        <w:jc w:val="center"/>
        <w:rPr>
          <w:rFonts w:ascii="Times New Roman" w:hAnsi="Times New Roman"/>
          <w:b/>
          <w:color w:val="000000" w:themeColor="text1"/>
          <w:sz w:val="24"/>
          <w:szCs w:val="24"/>
        </w:rPr>
      </w:pPr>
      <w:r w:rsidRPr="005541CD">
        <w:rPr>
          <w:rFonts w:ascii="Times New Roman" w:hAnsi="Times New Roman"/>
          <w:b/>
          <w:color w:val="000000" w:themeColor="text1"/>
          <w:sz w:val="24"/>
          <w:szCs w:val="24"/>
        </w:rPr>
        <w:t>РОЛЬ ЧЕЛОВЕЧЕСКОГО КАПИТАЛА В СТРУКТУРЕ РЕГИОНАЛЬНЫХ НЕМАТЕРИАЛЬНЫХ АКТИВОВ</w:t>
      </w:r>
    </w:p>
    <w:p w:rsidR="00201CAC" w:rsidRDefault="00201CAC" w:rsidP="005541CD">
      <w:pPr>
        <w:spacing w:after="0" w:line="360" w:lineRule="auto"/>
        <w:ind w:firstLine="709"/>
        <w:jc w:val="both"/>
        <w:rPr>
          <w:rFonts w:ascii="Times New Roman" w:hAnsi="Times New Roman"/>
          <w:sz w:val="24"/>
          <w:szCs w:val="24"/>
        </w:rPr>
      </w:pPr>
    </w:p>
    <w:p w:rsidR="00201CAC" w:rsidRPr="005541CD" w:rsidRDefault="00201CAC" w:rsidP="005541CD">
      <w:pPr>
        <w:spacing w:after="0" w:line="240" w:lineRule="auto"/>
        <w:ind w:firstLine="709"/>
        <w:jc w:val="both"/>
        <w:rPr>
          <w:i/>
        </w:rPr>
      </w:pPr>
      <w:r w:rsidRPr="005541CD">
        <w:rPr>
          <w:rFonts w:ascii="Times New Roman" w:hAnsi="Times New Roman"/>
          <w:i/>
          <w:sz w:val="24"/>
          <w:szCs w:val="24"/>
        </w:rPr>
        <w:t>Аннотация. Посредством использования новейших достижений науки и техники во всех отраслях, человеческий капитал вносит вклад в повышение производительности труда, что позволит обеспечить эффективность региональной экономики в целом. Поэтому в данной статье автором обосновывается место и роль человеческого капитала региона в структуре региональных нематериальных активов.</w:t>
      </w:r>
    </w:p>
    <w:p w:rsidR="00201CAC" w:rsidRPr="005541CD" w:rsidRDefault="00201CAC" w:rsidP="005541CD">
      <w:pPr>
        <w:spacing w:after="0" w:line="240" w:lineRule="auto"/>
        <w:ind w:firstLine="709"/>
        <w:jc w:val="both"/>
        <w:rPr>
          <w:rFonts w:ascii="Times New Roman" w:hAnsi="Times New Roman"/>
          <w:i/>
          <w:sz w:val="24"/>
          <w:szCs w:val="24"/>
        </w:rPr>
      </w:pPr>
      <w:r w:rsidRPr="005541CD">
        <w:rPr>
          <w:rFonts w:ascii="Times New Roman" w:hAnsi="Times New Roman"/>
          <w:i/>
          <w:sz w:val="24"/>
          <w:szCs w:val="24"/>
        </w:rPr>
        <w:t xml:space="preserve">Ключевые слова. </w:t>
      </w:r>
      <w:r w:rsidR="005541CD">
        <w:rPr>
          <w:rFonts w:ascii="Times New Roman" w:hAnsi="Times New Roman"/>
          <w:i/>
          <w:sz w:val="24"/>
          <w:szCs w:val="24"/>
        </w:rPr>
        <w:t>ч</w:t>
      </w:r>
      <w:r w:rsidRPr="005541CD">
        <w:rPr>
          <w:rFonts w:ascii="Times New Roman" w:hAnsi="Times New Roman"/>
          <w:i/>
          <w:sz w:val="24"/>
          <w:szCs w:val="24"/>
        </w:rPr>
        <w:t>еловеческий капитал региона, региональные нематериальные активы, национальное богатство, подходы</w:t>
      </w:r>
      <w:r w:rsidR="00202590" w:rsidRPr="005541CD">
        <w:rPr>
          <w:rFonts w:ascii="Times New Roman" w:hAnsi="Times New Roman"/>
          <w:i/>
          <w:sz w:val="24"/>
          <w:szCs w:val="24"/>
        </w:rPr>
        <w:t>, структура.</w:t>
      </w:r>
    </w:p>
    <w:p w:rsidR="00201CAC" w:rsidRPr="00201CAC" w:rsidRDefault="00201CAC" w:rsidP="005541CD">
      <w:pPr>
        <w:pStyle w:val="1"/>
        <w:spacing w:after="0" w:line="240" w:lineRule="auto"/>
        <w:ind w:left="0" w:firstLine="709"/>
        <w:jc w:val="both"/>
        <w:rPr>
          <w:rFonts w:ascii="Times New Roman" w:hAnsi="Times New Roman"/>
          <w:b/>
          <w:color w:val="000000" w:themeColor="text1"/>
          <w:sz w:val="24"/>
          <w:szCs w:val="24"/>
        </w:rPr>
      </w:pP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r w:rsidRPr="00201CAC">
        <w:rPr>
          <w:rFonts w:ascii="Times New Roman" w:hAnsi="Times New Roman"/>
          <w:color w:val="000000" w:themeColor="text1"/>
          <w:sz w:val="24"/>
          <w:szCs w:val="24"/>
        </w:rPr>
        <w:t>В современных условиях перехода к экономике знаний и инновационный путь развития нематериальные активы и ценности обеспечивают конкурентные преимущества в экономических системах любого уровня. Как показывает опыт развитых стран, эффективность и конкурентоспособность региональных экономик в настоящее время достигается за счет интенсивных факторов – знаний, инноваций, творческого и нестандартного мышления, предпринимательских и способностей. При этом человеческий капитал является носителем и производителем знаний, способностей, инновационных идей. Поэтому в условиях исчерпания минеральных ресурсов и достижения пределов экстенсивного экономического роста человеческий капитал становится незаменимым и ценным материальным активом.</w:t>
      </w: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r w:rsidRPr="00201CAC">
        <w:rPr>
          <w:rFonts w:ascii="Times New Roman" w:hAnsi="Times New Roman"/>
          <w:color w:val="000000" w:themeColor="text1"/>
          <w:sz w:val="24"/>
          <w:szCs w:val="24"/>
        </w:rPr>
        <w:t>Общеизвестно, нематериальные активы занимают важное место в структуре национального богатства любой страны (региона). Так, согласно методологии СНС к нематериальным непроизведенным активам относят специальные документы, дающие право и позволяющие заниматься конкретной деятельностью (патенты на изобретение, лицензия, договора и др.). Этот подход учитывает только юридически оформленный результат интеллектуальной деятельности человеческого капитала как нематериального актива и не включает в состав национального богатство, например, уровень образования население, его здоровья, предпринимательские способности и др.</w:t>
      </w: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r w:rsidRPr="00201CAC">
        <w:rPr>
          <w:rFonts w:ascii="Times New Roman" w:hAnsi="Times New Roman"/>
          <w:color w:val="000000" w:themeColor="text1"/>
          <w:sz w:val="24"/>
          <w:szCs w:val="24"/>
        </w:rPr>
        <w:t>В соответствии положению бухгалтерского учета под нематериальными активами понимается объекты, не имеющие материально-вещественной формы, предназначенные для использования в течение длительного времени и  позволяющие приносить экономическую прибыль в перспективе [</w:t>
      </w:r>
      <w:r w:rsidR="00FC6150" w:rsidRPr="00FC6150">
        <w:rPr>
          <w:rFonts w:ascii="Times New Roman" w:hAnsi="Times New Roman"/>
          <w:color w:val="000000" w:themeColor="text1"/>
          <w:sz w:val="24"/>
          <w:szCs w:val="24"/>
        </w:rPr>
        <w:t>1</w:t>
      </w:r>
      <w:r w:rsidRPr="00201CAC">
        <w:rPr>
          <w:rFonts w:ascii="Times New Roman" w:hAnsi="Times New Roman"/>
          <w:color w:val="000000" w:themeColor="text1"/>
          <w:sz w:val="24"/>
          <w:szCs w:val="24"/>
        </w:rPr>
        <w:t xml:space="preserve">], что  соответствует концепции человеческого капитала. </w:t>
      </w: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r w:rsidRPr="00201CAC">
        <w:rPr>
          <w:rFonts w:ascii="Times New Roman" w:hAnsi="Times New Roman"/>
          <w:color w:val="000000" w:themeColor="text1"/>
          <w:sz w:val="24"/>
          <w:szCs w:val="24"/>
        </w:rPr>
        <w:t>Вместе с тем, в СНС и бухгалтерском учете в структуре нематериальных активов не изучается качественные характеристики человеческого капитала.</w:t>
      </w: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r w:rsidRPr="00201CAC">
        <w:rPr>
          <w:rFonts w:ascii="Times New Roman" w:hAnsi="Times New Roman"/>
          <w:color w:val="000000" w:themeColor="text1"/>
          <w:sz w:val="24"/>
          <w:szCs w:val="24"/>
        </w:rPr>
        <w:t xml:space="preserve">В условиях нарастания дефицита региональных бюджетов российские регионы активно вступают в конкурентную борьбу за ресурсы и факторы и ищут новые способы достичь эффективного развития. При этом одним из ключевых факторов становится нематериальные активы региона. </w:t>
      </w: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r w:rsidRPr="00201CAC">
        <w:rPr>
          <w:rFonts w:ascii="Times New Roman" w:hAnsi="Times New Roman"/>
          <w:color w:val="000000" w:themeColor="text1"/>
          <w:sz w:val="24"/>
          <w:szCs w:val="24"/>
        </w:rPr>
        <w:t>В современной экономической литературе нематериальные активы региона слабо исследованы в связи проблемами их идентификации и оценки их стоимости и вклада в региональное развитие. В следствие этого, они также недостаточно вовлечены в воспроизводственный процесс региона. На наш взгляд, такое положение дел обусловлено тем, что в устоявшей структуре региональной экономике доминирует материальные и финансовые активы и отсутствует продуманная система управления рациональным использованием нематериальных активов.</w:t>
      </w: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r w:rsidRPr="00201CAC">
        <w:rPr>
          <w:rFonts w:ascii="Times New Roman" w:hAnsi="Times New Roman"/>
          <w:color w:val="000000" w:themeColor="text1"/>
          <w:sz w:val="24"/>
          <w:szCs w:val="24"/>
        </w:rPr>
        <w:t>Так, по мнению В.М. Ощипкова и Г.М. Прудского, к нематериальным активам региона можно отнести знания, информацию и  человеческий капитал [</w:t>
      </w:r>
      <w:r w:rsidR="00E22FA5">
        <w:rPr>
          <w:rFonts w:ascii="Times New Roman" w:hAnsi="Times New Roman"/>
          <w:color w:val="000000" w:themeColor="text1"/>
          <w:sz w:val="24"/>
          <w:szCs w:val="24"/>
        </w:rPr>
        <w:t>5</w:t>
      </w:r>
      <w:r w:rsidRPr="00201CAC">
        <w:rPr>
          <w:rFonts w:ascii="Times New Roman" w:hAnsi="Times New Roman"/>
          <w:color w:val="000000" w:themeColor="text1"/>
          <w:sz w:val="24"/>
          <w:szCs w:val="24"/>
        </w:rPr>
        <w:t>, с.235-240].</w:t>
      </w:r>
    </w:p>
    <w:p w:rsidR="00201CAC" w:rsidRPr="00201CAC" w:rsidRDefault="00201CAC" w:rsidP="005541CD">
      <w:pPr>
        <w:pStyle w:val="1"/>
        <w:spacing w:after="0" w:line="240" w:lineRule="auto"/>
        <w:ind w:left="0" w:firstLine="709"/>
        <w:jc w:val="both"/>
        <w:rPr>
          <w:rFonts w:ascii="Times New Roman" w:hAnsi="Times New Roman" w:cs="Times New Roman"/>
          <w:sz w:val="24"/>
          <w:szCs w:val="24"/>
        </w:rPr>
      </w:pPr>
      <w:r w:rsidRPr="00201CAC">
        <w:rPr>
          <w:rFonts w:ascii="Times New Roman" w:hAnsi="Times New Roman" w:cs="Times New Roman"/>
          <w:sz w:val="24"/>
          <w:szCs w:val="24"/>
        </w:rPr>
        <w:lastRenderedPageBreak/>
        <w:t>В научных работах Р. Каплан и Д. Нортона к нематериальным ресурсами относят человеческий, информационный и организационный капитал</w:t>
      </w:r>
      <w:r w:rsidR="0005517E" w:rsidRPr="00201CAC">
        <w:rPr>
          <w:rFonts w:ascii="Times New Roman" w:hAnsi="Times New Roman" w:cs="Times New Roman"/>
          <w:color w:val="000000" w:themeColor="text1"/>
          <w:sz w:val="24"/>
          <w:szCs w:val="24"/>
        </w:rPr>
        <w:t>[</w:t>
      </w:r>
      <w:r w:rsidR="0005517E">
        <w:rPr>
          <w:rFonts w:ascii="Times New Roman" w:hAnsi="Times New Roman" w:cs="Times New Roman"/>
          <w:color w:val="000000" w:themeColor="text1"/>
          <w:sz w:val="24"/>
          <w:szCs w:val="24"/>
        </w:rPr>
        <w:t>3</w:t>
      </w:r>
      <w:r w:rsidR="0005517E" w:rsidRPr="00201CAC">
        <w:rPr>
          <w:rFonts w:ascii="Times New Roman" w:hAnsi="Times New Roman" w:cs="Times New Roman"/>
          <w:color w:val="000000" w:themeColor="text1"/>
          <w:sz w:val="24"/>
          <w:szCs w:val="24"/>
        </w:rPr>
        <w:t>, с.</w:t>
      </w:r>
      <w:r w:rsidR="0005517E">
        <w:rPr>
          <w:rFonts w:ascii="Times New Roman" w:hAnsi="Times New Roman" w:cs="Times New Roman"/>
          <w:color w:val="000000" w:themeColor="text1"/>
          <w:sz w:val="24"/>
          <w:szCs w:val="24"/>
        </w:rPr>
        <w:t>25</w:t>
      </w:r>
      <w:r w:rsidR="0005517E" w:rsidRPr="00201CAC">
        <w:rPr>
          <w:rFonts w:ascii="Times New Roman" w:hAnsi="Times New Roman" w:cs="Times New Roman"/>
          <w:color w:val="000000" w:themeColor="text1"/>
          <w:sz w:val="24"/>
          <w:szCs w:val="24"/>
        </w:rPr>
        <w:t>]</w:t>
      </w:r>
      <w:r w:rsidR="0005517E" w:rsidRPr="00201CAC">
        <w:rPr>
          <w:rFonts w:ascii="Times New Roman" w:hAnsi="Times New Roman" w:cs="Times New Roman"/>
          <w:sz w:val="24"/>
          <w:szCs w:val="24"/>
        </w:rPr>
        <w:t>.</w:t>
      </w:r>
      <w:r w:rsidRPr="00201CAC">
        <w:rPr>
          <w:rFonts w:ascii="Times New Roman" w:hAnsi="Times New Roman" w:cs="Times New Roman"/>
          <w:sz w:val="24"/>
          <w:szCs w:val="24"/>
        </w:rPr>
        <w:t>.В развитии зарубежных подходов следующая группа исследователей в состав нематериальных ресурсов региона относят человеческие, интеллектуальные, информационные, организационные, социальные ресурсы</w:t>
      </w:r>
      <w:r w:rsidRPr="00201CAC">
        <w:rPr>
          <w:rFonts w:ascii="Times New Roman" w:hAnsi="Times New Roman" w:cs="Times New Roman"/>
          <w:color w:val="000000" w:themeColor="text1"/>
          <w:sz w:val="24"/>
          <w:szCs w:val="24"/>
        </w:rPr>
        <w:t xml:space="preserve"> [</w:t>
      </w:r>
      <w:r w:rsidR="00E22FA5">
        <w:rPr>
          <w:rFonts w:ascii="Times New Roman" w:hAnsi="Times New Roman" w:cs="Times New Roman"/>
          <w:color w:val="000000" w:themeColor="text1"/>
          <w:sz w:val="24"/>
          <w:szCs w:val="24"/>
        </w:rPr>
        <w:t>2</w:t>
      </w:r>
      <w:r w:rsidRPr="00201CAC">
        <w:rPr>
          <w:rFonts w:ascii="Times New Roman" w:hAnsi="Times New Roman" w:cs="Times New Roman"/>
          <w:color w:val="000000" w:themeColor="text1"/>
          <w:sz w:val="24"/>
          <w:szCs w:val="24"/>
        </w:rPr>
        <w:t>, с.</w:t>
      </w:r>
      <w:r w:rsidR="0005517E">
        <w:rPr>
          <w:rFonts w:ascii="Times New Roman" w:hAnsi="Times New Roman" w:cs="Times New Roman"/>
          <w:color w:val="000000" w:themeColor="text1"/>
          <w:sz w:val="24"/>
          <w:szCs w:val="24"/>
        </w:rPr>
        <w:t>118-133</w:t>
      </w:r>
      <w:r w:rsidRPr="00201CAC">
        <w:rPr>
          <w:rFonts w:ascii="Times New Roman" w:hAnsi="Times New Roman" w:cs="Times New Roman"/>
          <w:color w:val="000000" w:themeColor="text1"/>
          <w:sz w:val="24"/>
          <w:szCs w:val="24"/>
        </w:rPr>
        <w:t>]</w:t>
      </w:r>
      <w:r w:rsidRPr="00201CAC">
        <w:rPr>
          <w:rFonts w:ascii="Times New Roman" w:hAnsi="Times New Roman" w:cs="Times New Roman"/>
          <w:sz w:val="24"/>
          <w:szCs w:val="24"/>
        </w:rPr>
        <w:t>.</w:t>
      </w: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r w:rsidRPr="00201CAC">
        <w:rPr>
          <w:rFonts w:ascii="Times New Roman" w:hAnsi="Times New Roman" w:cs="Times New Roman"/>
          <w:color w:val="000000" w:themeColor="text1"/>
          <w:sz w:val="24"/>
          <w:szCs w:val="24"/>
        </w:rPr>
        <w:t>Как видно большинство авторов в структуре нематериальных активов региона выделяют четыре элемента</w:t>
      </w:r>
      <w:r w:rsidRPr="00201CAC">
        <w:rPr>
          <w:rFonts w:ascii="Times New Roman" w:hAnsi="Times New Roman" w:cs="Times New Roman"/>
          <w:sz w:val="24"/>
          <w:szCs w:val="24"/>
        </w:rPr>
        <w:t xml:space="preserve">: информационный, человеческий, организационный и имиджевый капиталы </w:t>
      </w:r>
      <w:r w:rsidRPr="00201CAC">
        <w:rPr>
          <w:rFonts w:ascii="Times New Roman" w:hAnsi="Times New Roman" w:cs="Times New Roman"/>
          <w:color w:val="000000" w:themeColor="text1"/>
          <w:sz w:val="24"/>
          <w:szCs w:val="24"/>
        </w:rPr>
        <w:t>[</w:t>
      </w:r>
      <w:r w:rsidR="00E22FA5">
        <w:rPr>
          <w:rFonts w:ascii="Times New Roman" w:hAnsi="Times New Roman" w:cs="Times New Roman"/>
          <w:color w:val="000000" w:themeColor="text1"/>
          <w:sz w:val="24"/>
          <w:szCs w:val="24"/>
        </w:rPr>
        <w:t>6</w:t>
      </w:r>
      <w:r w:rsidRPr="00201CAC">
        <w:rPr>
          <w:rFonts w:ascii="Times New Roman" w:hAnsi="Times New Roman" w:cs="Times New Roman"/>
          <w:color w:val="000000" w:themeColor="text1"/>
          <w:sz w:val="24"/>
          <w:szCs w:val="24"/>
        </w:rPr>
        <w:t>, с.11-14]</w:t>
      </w:r>
      <w:r w:rsidRPr="00201CAC">
        <w:rPr>
          <w:rFonts w:ascii="Times New Roman" w:hAnsi="Times New Roman" w:cs="Times New Roman"/>
          <w:sz w:val="24"/>
          <w:szCs w:val="24"/>
        </w:rPr>
        <w:t xml:space="preserve">. </w:t>
      </w:r>
      <w:r w:rsidRPr="00201CAC">
        <w:rPr>
          <w:rFonts w:ascii="Times New Roman" w:hAnsi="Times New Roman"/>
          <w:color w:val="000000" w:themeColor="text1"/>
          <w:sz w:val="24"/>
          <w:szCs w:val="24"/>
        </w:rPr>
        <w:t xml:space="preserve">При этом авторы едины во мнение, что в современных условиях базовым элементом в структуре нематериальных активов региона занимает человеческий капитал региона (рисунок </w:t>
      </w:r>
      <w:r>
        <w:rPr>
          <w:rFonts w:ascii="Times New Roman" w:hAnsi="Times New Roman"/>
          <w:color w:val="000000" w:themeColor="text1"/>
          <w:sz w:val="24"/>
          <w:szCs w:val="24"/>
        </w:rPr>
        <w:t>1</w:t>
      </w:r>
      <w:r w:rsidRPr="00201CAC">
        <w:rPr>
          <w:rFonts w:ascii="Times New Roman" w:hAnsi="Times New Roman"/>
          <w:color w:val="000000" w:themeColor="text1"/>
          <w:sz w:val="24"/>
          <w:szCs w:val="24"/>
        </w:rPr>
        <w:t>).</w:t>
      </w:r>
    </w:p>
    <w:p w:rsidR="00201CAC" w:rsidRPr="00201CAC" w:rsidRDefault="00201CAC" w:rsidP="005541CD">
      <w:pPr>
        <w:pStyle w:val="1"/>
        <w:spacing w:after="0" w:line="240" w:lineRule="auto"/>
        <w:ind w:left="0" w:firstLine="709"/>
        <w:jc w:val="both"/>
        <w:rPr>
          <w:rFonts w:ascii="Times New Roman" w:hAnsi="Times New Roman"/>
          <w:color w:val="000000" w:themeColor="text1"/>
          <w:sz w:val="24"/>
          <w:szCs w:val="24"/>
        </w:rPr>
      </w:pPr>
    </w:p>
    <w:p w:rsidR="00201CAC" w:rsidRPr="00201CAC" w:rsidRDefault="007F5F70" w:rsidP="005541CD">
      <w:pPr>
        <w:pStyle w:val="1"/>
        <w:spacing w:after="0" w:line="240" w:lineRule="auto"/>
        <w:ind w:left="0"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rPr>
        <mc:AlternateContent>
          <mc:Choice Requires="wpc">
            <w:drawing>
              <wp:inline distT="0" distB="0" distL="0" distR="0">
                <wp:extent cx="6120130" cy="2844800"/>
                <wp:effectExtent l="8255" t="9525" r="5715" b="12700"/>
                <wp:docPr id="21"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0" y="0"/>
                            <a:ext cx="6120130" cy="284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5"/>
                        <wps:cNvSpPr>
                          <a:spLocks noChangeArrowheads="1"/>
                        </wps:cNvSpPr>
                        <wps:spPr bwMode="auto">
                          <a:xfrm>
                            <a:off x="325557" y="297484"/>
                            <a:ext cx="1432280" cy="3195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6"/>
                        <wps:cNvSpPr txBox="1">
                          <a:spLocks noChangeArrowheads="1"/>
                        </wps:cNvSpPr>
                        <wps:spPr bwMode="auto">
                          <a:xfrm>
                            <a:off x="136853" y="177641"/>
                            <a:ext cx="1767188" cy="637466"/>
                          </a:xfrm>
                          <a:prstGeom prst="rect">
                            <a:avLst/>
                          </a:prstGeom>
                          <a:solidFill>
                            <a:srgbClr val="FFFFFF"/>
                          </a:solidFill>
                          <a:ln w="9525">
                            <a:solidFill>
                              <a:srgbClr val="000000"/>
                            </a:solidFill>
                            <a:miter lim="800000"/>
                            <a:headEnd/>
                            <a:tailEnd/>
                          </a:ln>
                        </wps:spPr>
                        <wps:txbx>
                          <w:txbxContent>
                            <w:p w:rsidR="00201CAC" w:rsidRDefault="00201CAC" w:rsidP="00201CAC">
                              <w:pPr>
                                <w:spacing w:after="0" w:line="240" w:lineRule="auto"/>
                                <w:jc w:val="center"/>
                                <w:rPr>
                                  <w:rFonts w:ascii="Times New Roman" w:hAnsi="Times New Roman"/>
                                  <w:sz w:val="24"/>
                                  <w:szCs w:val="24"/>
                                </w:rPr>
                              </w:pPr>
                              <w:r w:rsidRPr="00F8406C">
                                <w:rPr>
                                  <w:rFonts w:ascii="Times New Roman" w:hAnsi="Times New Roman"/>
                                  <w:sz w:val="24"/>
                                  <w:szCs w:val="24"/>
                                </w:rPr>
                                <w:t>Материальные активы</w:t>
                              </w:r>
                            </w:p>
                            <w:p w:rsidR="00201CAC" w:rsidRPr="00F8406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2150546" y="177641"/>
                            <a:ext cx="1809688" cy="637466"/>
                          </a:xfrm>
                          <a:prstGeom prst="rect">
                            <a:avLst/>
                          </a:prstGeom>
                          <a:solidFill>
                            <a:srgbClr val="FFFFFF"/>
                          </a:solidFill>
                          <a:ln w="9525">
                            <a:solidFill>
                              <a:srgbClr val="000000"/>
                            </a:solidFill>
                            <a:miter lim="800000"/>
                            <a:headEnd/>
                            <a:tailEnd/>
                          </a:ln>
                        </wps:spPr>
                        <wps:txb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Нем</w:t>
                              </w:r>
                              <w:r w:rsidRPr="00F8406C">
                                <w:rPr>
                                  <w:rFonts w:ascii="Times New Roman" w:hAnsi="Times New Roman"/>
                                  <w:sz w:val="24"/>
                                  <w:szCs w:val="24"/>
                                </w:rPr>
                                <w:t>атериальные активы</w:t>
                              </w:r>
                            </w:p>
                            <w:p w:rsidR="00201CAC" w:rsidRPr="00F8406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jc w:val="center"/>
                                <w:rPr>
                                  <w:rFonts w:ascii="Times New Roman" w:hAnsi="Times New Roman"/>
                                  <w:sz w:val="24"/>
                                  <w:szCs w:val="24"/>
                                </w:rPr>
                              </w:pP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4208439" y="177641"/>
                            <a:ext cx="1759537" cy="637466"/>
                          </a:xfrm>
                          <a:prstGeom prst="rect">
                            <a:avLst/>
                          </a:prstGeom>
                          <a:solidFill>
                            <a:srgbClr val="FFFFFF"/>
                          </a:solidFill>
                          <a:ln w="9525">
                            <a:solidFill>
                              <a:srgbClr val="000000"/>
                            </a:solidFill>
                            <a:miter lim="800000"/>
                            <a:headEnd/>
                            <a:tailEnd/>
                          </a:ln>
                        </wps:spPr>
                        <wps:txb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 xml:space="preserve">Финансовые </w:t>
                              </w:r>
                              <w:r w:rsidRPr="00F8406C">
                                <w:rPr>
                                  <w:rFonts w:ascii="Times New Roman" w:hAnsi="Times New Roman"/>
                                  <w:sz w:val="24"/>
                                  <w:szCs w:val="24"/>
                                </w:rPr>
                                <w:t>активы</w:t>
                              </w:r>
                            </w:p>
                            <w:p w:rsidR="00201CAC" w:rsidRPr="00F8406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jc w:val="center"/>
                                <w:rPr>
                                  <w:rFonts w:ascii="Times New Roman" w:hAnsi="Times New Roman"/>
                                  <w:sz w:val="24"/>
                                  <w:szCs w:val="24"/>
                                </w:rPr>
                              </w:pP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75652" y="1184838"/>
                            <a:ext cx="1407630" cy="647666"/>
                          </a:xfrm>
                          <a:prstGeom prst="rect">
                            <a:avLst/>
                          </a:prstGeom>
                          <a:solidFill>
                            <a:srgbClr val="FFFFFF"/>
                          </a:solidFill>
                          <a:ln w="9525">
                            <a:solidFill>
                              <a:srgbClr val="000000"/>
                            </a:solidFill>
                            <a:miter lim="800000"/>
                            <a:headEnd/>
                            <a:tailEnd/>
                          </a:ln>
                        </wps:spPr>
                        <wps:txb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Организационный</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капитал</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7" name="AutoShape 10"/>
                        <wps:cNvCnPr>
                          <a:cxnSpLocks noChangeShapeType="1"/>
                          <a:stCxn id="3" idx="3"/>
                          <a:endCxn id="4" idx="1"/>
                        </wps:cNvCnPr>
                        <wps:spPr bwMode="auto">
                          <a:xfrm>
                            <a:off x="1904040" y="496374"/>
                            <a:ext cx="246505" cy="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 name="AutoShape 11"/>
                        <wps:cNvCnPr>
                          <a:cxnSpLocks noChangeShapeType="1"/>
                          <a:stCxn id="4" idx="3"/>
                          <a:endCxn id="5" idx="1"/>
                        </wps:cNvCnPr>
                        <wps:spPr bwMode="auto">
                          <a:xfrm>
                            <a:off x="3960234" y="496374"/>
                            <a:ext cx="248205" cy="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 name="Text Box 12"/>
                        <wps:cNvSpPr txBox="1">
                          <a:spLocks noChangeArrowheads="1"/>
                        </wps:cNvSpPr>
                        <wps:spPr bwMode="auto">
                          <a:xfrm>
                            <a:off x="2690307" y="1183138"/>
                            <a:ext cx="1518132" cy="648516"/>
                          </a:xfrm>
                          <a:prstGeom prst="rect">
                            <a:avLst/>
                          </a:prstGeom>
                          <a:solidFill>
                            <a:srgbClr val="FFFFFF"/>
                          </a:solidFill>
                          <a:ln w="9525">
                            <a:solidFill>
                              <a:srgbClr val="000000"/>
                            </a:solidFill>
                            <a:miter lim="800000"/>
                            <a:headEnd/>
                            <a:tailEnd/>
                          </a:ln>
                        </wps:spPr>
                        <wps:txb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Человеческий</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капитал</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4632598" y="1136390"/>
                            <a:ext cx="1395730" cy="695263"/>
                          </a:xfrm>
                          <a:prstGeom prst="rect">
                            <a:avLst/>
                          </a:prstGeom>
                          <a:solidFill>
                            <a:srgbClr val="FFFFFF"/>
                          </a:solidFill>
                          <a:ln w="9525">
                            <a:solidFill>
                              <a:srgbClr val="000000"/>
                            </a:solidFill>
                            <a:miter lim="800000"/>
                            <a:headEnd/>
                            <a:tailEnd/>
                          </a:ln>
                        </wps:spPr>
                        <wps:txb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Информационный</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капитал</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1656685" y="1184838"/>
                            <a:ext cx="788817" cy="646816"/>
                          </a:xfrm>
                          <a:prstGeom prst="rect">
                            <a:avLst/>
                          </a:prstGeom>
                          <a:solidFill>
                            <a:srgbClr val="FFFFFF"/>
                          </a:solidFill>
                          <a:ln w="9525">
                            <a:solidFill>
                              <a:srgbClr val="000000"/>
                            </a:solidFill>
                            <a:miter lim="800000"/>
                            <a:headEnd/>
                            <a:tailEnd/>
                          </a:ln>
                        </wps:spPr>
                        <wps:txb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Имидж</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12" name="AutoShape 15"/>
                        <wps:cNvCnPr>
                          <a:cxnSpLocks noChangeShapeType="1"/>
                          <a:stCxn id="6" idx="3"/>
                          <a:endCxn id="11" idx="1"/>
                        </wps:cNvCnPr>
                        <wps:spPr bwMode="auto">
                          <a:xfrm flipV="1">
                            <a:off x="1483282" y="1507820"/>
                            <a:ext cx="173404" cy="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 name="AutoShape 16"/>
                        <wps:cNvCnPr>
                          <a:cxnSpLocks noChangeShapeType="1"/>
                          <a:stCxn id="11" idx="3"/>
                          <a:endCxn id="9" idx="1"/>
                        </wps:cNvCnPr>
                        <wps:spPr bwMode="auto">
                          <a:xfrm flipV="1">
                            <a:off x="2445502" y="1507820"/>
                            <a:ext cx="244805" cy="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AutoShape 17"/>
                        <wps:cNvCnPr>
                          <a:cxnSpLocks noChangeShapeType="1"/>
                          <a:stCxn id="9" idx="3"/>
                          <a:endCxn id="10" idx="1"/>
                        </wps:cNvCnPr>
                        <wps:spPr bwMode="auto">
                          <a:xfrm flipV="1">
                            <a:off x="4208439" y="1484022"/>
                            <a:ext cx="424159" cy="2379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AutoShape 18"/>
                        <wps:cNvCnPr>
                          <a:cxnSpLocks noChangeShapeType="1"/>
                          <a:stCxn id="4" idx="2"/>
                          <a:endCxn id="6" idx="0"/>
                        </wps:cNvCnPr>
                        <wps:spPr bwMode="auto">
                          <a:xfrm flipH="1">
                            <a:off x="779467" y="815107"/>
                            <a:ext cx="2276348" cy="369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9"/>
                        <wps:cNvCnPr>
                          <a:cxnSpLocks noChangeShapeType="1"/>
                          <a:stCxn id="4" idx="2"/>
                          <a:endCxn id="11" idx="0"/>
                        </wps:cNvCnPr>
                        <wps:spPr bwMode="auto">
                          <a:xfrm flipH="1">
                            <a:off x="2051094" y="815107"/>
                            <a:ext cx="1004721" cy="369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20"/>
                        <wps:cNvCnPr>
                          <a:cxnSpLocks noChangeShapeType="1"/>
                          <a:stCxn id="4" idx="2"/>
                          <a:endCxn id="9" idx="0"/>
                        </wps:cNvCnPr>
                        <wps:spPr bwMode="auto">
                          <a:xfrm>
                            <a:off x="3055815" y="815107"/>
                            <a:ext cx="393558" cy="3680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21"/>
                        <wps:cNvCnPr>
                          <a:cxnSpLocks noChangeShapeType="1"/>
                          <a:stCxn id="4" idx="2"/>
                          <a:endCxn id="10" idx="0"/>
                        </wps:cNvCnPr>
                        <wps:spPr bwMode="auto">
                          <a:xfrm>
                            <a:off x="3055815" y="815107"/>
                            <a:ext cx="2274648" cy="3212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22"/>
                        <wps:cNvSpPr txBox="1">
                          <a:spLocks noChangeArrowheads="1"/>
                        </wps:cNvSpPr>
                        <wps:spPr bwMode="auto">
                          <a:xfrm>
                            <a:off x="325557" y="2284680"/>
                            <a:ext cx="5642420" cy="394379"/>
                          </a:xfrm>
                          <a:prstGeom prst="rect">
                            <a:avLst/>
                          </a:prstGeom>
                          <a:solidFill>
                            <a:srgbClr val="FFFFFF"/>
                          </a:solidFill>
                          <a:ln w="9525">
                            <a:solidFill>
                              <a:srgbClr val="000000"/>
                            </a:solidFill>
                            <a:miter lim="800000"/>
                            <a:headEnd/>
                            <a:tailEnd/>
                          </a:ln>
                        </wps:spPr>
                        <wps:txbx>
                          <w:txbxContent>
                            <w:p w:rsidR="00201CAC" w:rsidRPr="007201C8" w:rsidRDefault="00201CAC" w:rsidP="00201CAC">
                              <w:pPr>
                                <w:spacing w:after="0" w:line="240" w:lineRule="auto"/>
                                <w:jc w:val="center"/>
                                <w:rPr>
                                  <w:rFonts w:ascii="Times New Roman" w:hAnsi="Times New Roman"/>
                                  <w:sz w:val="24"/>
                                  <w:szCs w:val="24"/>
                                </w:rPr>
                              </w:pPr>
                              <w:r w:rsidRPr="007201C8">
                                <w:rPr>
                                  <w:rFonts w:ascii="Times New Roman" w:hAnsi="Times New Roman"/>
                                  <w:sz w:val="24"/>
                                  <w:szCs w:val="24"/>
                                </w:rPr>
                                <w:t>Инновационно-ориентированное социально-экономическое развитие региона</w:t>
                              </w:r>
                            </w:p>
                          </w:txbxContent>
                        </wps:txbx>
                        <wps:bodyPr rot="0" vert="horz" wrap="square" lIns="91440" tIns="45720" rIns="91440" bIns="45720" anchor="t" anchorCtr="0" upright="1">
                          <a:noAutofit/>
                        </wps:bodyPr>
                      </wps:wsp>
                      <wps:wsp>
                        <wps:cNvPr id="20" name="AutoShape 23"/>
                        <wps:cNvSpPr>
                          <a:spLocks noChangeArrowheads="1"/>
                        </wps:cNvSpPr>
                        <wps:spPr bwMode="auto">
                          <a:xfrm>
                            <a:off x="2320549" y="1888600"/>
                            <a:ext cx="1224876" cy="319583"/>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id="Полотно 2" o:spid="_x0000_s1026" editas="canvas" style="width:481.9pt;height:224pt;mso-position-horizontal-relative:char;mso-position-vertical-relative:line" coordsize="61201,28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28448;visibility:visible;mso-wrap-style:square">
                  <v:fill o:detectmouseclick="t"/>
                  <v:path o:connecttype="none"/>
                </v:shape>
                <v:rect id="Rectangle 4" o:spid="_x0000_s1028" style="position:absolute;width:61201;height:28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rect id="Rectangle 5" o:spid="_x0000_s1029" style="position:absolute;left:3255;top:2974;width:14323;height:3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shapetype id="_x0000_t202" coordsize="21600,21600" o:spt="202" path="m,l,21600r21600,l21600,xe">
                  <v:stroke joinstyle="miter"/>
                  <v:path gradientshapeok="t" o:connecttype="rect"/>
                </v:shapetype>
                <v:shape id="Text Box 6" o:spid="_x0000_s1030" type="#_x0000_t202" style="position:absolute;left:1368;top:1776;width:17672;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201CAC" w:rsidRDefault="00201CAC" w:rsidP="00201CAC">
                        <w:pPr>
                          <w:spacing w:after="0" w:line="240" w:lineRule="auto"/>
                          <w:jc w:val="center"/>
                          <w:rPr>
                            <w:rFonts w:ascii="Times New Roman" w:hAnsi="Times New Roman"/>
                            <w:sz w:val="24"/>
                            <w:szCs w:val="24"/>
                          </w:rPr>
                        </w:pPr>
                        <w:r w:rsidRPr="00F8406C">
                          <w:rPr>
                            <w:rFonts w:ascii="Times New Roman" w:hAnsi="Times New Roman"/>
                            <w:sz w:val="24"/>
                            <w:szCs w:val="24"/>
                          </w:rPr>
                          <w:t>Материальные активы</w:t>
                        </w:r>
                      </w:p>
                      <w:p w:rsidR="00201CAC" w:rsidRPr="00F8406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txbxContent>
                  </v:textbox>
                </v:shape>
                <v:shape id="Text Box 7" o:spid="_x0000_s1031" type="#_x0000_t202" style="position:absolute;left:21505;top:1776;width:18097;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Нем</w:t>
                        </w:r>
                        <w:r w:rsidRPr="00F8406C">
                          <w:rPr>
                            <w:rFonts w:ascii="Times New Roman" w:hAnsi="Times New Roman"/>
                            <w:sz w:val="24"/>
                            <w:szCs w:val="24"/>
                          </w:rPr>
                          <w:t>атериальные активы</w:t>
                        </w:r>
                      </w:p>
                      <w:p w:rsidR="00201CAC" w:rsidRPr="00F8406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jc w:val="center"/>
                          <w:rPr>
                            <w:rFonts w:ascii="Times New Roman" w:hAnsi="Times New Roman"/>
                            <w:sz w:val="24"/>
                            <w:szCs w:val="24"/>
                          </w:rPr>
                        </w:pPr>
                      </w:p>
                    </w:txbxContent>
                  </v:textbox>
                </v:shape>
                <v:shape id="Text Box 8" o:spid="_x0000_s1032" type="#_x0000_t202" style="position:absolute;left:42084;top:1776;width:17595;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 xml:space="preserve">Финансовые </w:t>
                        </w:r>
                        <w:r w:rsidRPr="00F8406C">
                          <w:rPr>
                            <w:rFonts w:ascii="Times New Roman" w:hAnsi="Times New Roman"/>
                            <w:sz w:val="24"/>
                            <w:szCs w:val="24"/>
                          </w:rPr>
                          <w:t>активы</w:t>
                        </w:r>
                      </w:p>
                      <w:p w:rsidR="00201CAC" w:rsidRPr="00F8406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jc w:val="center"/>
                          <w:rPr>
                            <w:rFonts w:ascii="Times New Roman" w:hAnsi="Times New Roman"/>
                            <w:sz w:val="24"/>
                            <w:szCs w:val="24"/>
                          </w:rPr>
                        </w:pPr>
                      </w:p>
                    </w:txbxContent>
                  </v:textbox>
                </v:shape>
                <v:shape id="Text Box 9" o:spid="_x0000_s1033" type="#_x0000_t202" style="position:absolute;left:756;top:11848;width:14076;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Организационный</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капитал</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rPr>
                            <w:rFonts w:ascii="Times New Roman" w:hAnsi="Times New Roman"/>
                            <w:sz w:val="24"/>
                            <w:szCs w:val="24"/>
                          </w:rPr>
                        </w:pPr>
                      </w:p>
                    </w:txbxContent>
                  </v:textbox>
                </v:shape>
                <v:shapetype id="_x0000_t32" coordsize="21600,21600" o:spt="32" o:oned="t" path="m,l21600,21600e" filled="f">
                  <v:path arrowok="t" fillok="f" o:connecttype="none"/>
                  <o:lock v:ext="edit" shapetype="t"/>
                </v:shapetype>
                <v:shape id="AutoShape 10" o:spid="_x0000_s1034" type="#_x0000_t32" style="position:absolute;left:19040;top:4963;width:2465;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rlEcQAAADaAAAADwAAAGRycy9kb3ducmV2LnhtbESPQWvCQBSE7wX/w/IK3urGgrZEVylS&#10;UShJaWzuj+wzCWbfhuxq0vx6t1DocZiZb5j1djCNuFHnassK5rMIBHFhdc2lgu/T/ukVhPPIGhvL&#10;pOCHHGw3k4c1xtr2/EW3zJciQNjFqKDyvo2ldEVFBt3MtsTBO9vOoA+yK6XusA9w08jnKFpKgzWH&#10;hQpb2lVUXLKrUTAmBzoleB4/37M8/Vgc5os0z5WaPg5vKxCeBv8f/msftYIX+L0SboD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yuURxAAAANoAAAAPAAAAAAAAAAAA&#10;AAAAAKECAABkcnMvZG93bnJldi54bWxQSwUGAAAAAAQABAD5AAAAkgMAAAAA&#10;">
                  <v:stroke startarrow="block" endarrow="block"/>
                </v:shape>
                <v:shape id="AutoShape 11" o:spid="_x0000_s1035" type="#_x0000_t32" style="position:absolute;left:39602;top:4963;width:2482;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VxY8EAAADaAAAADwAAAGRycy9kb3ducmV2LnhtbERPy2rCQBTdC/7DcIXudJKCUtJMQilK&#10;CkVLY7O/ZG4eNHMnZKaa+vXOotDl4bzTfDaDuNDkessK4k0Egri2uudWwdf5sH4C4TyyxsEyKfgl&#10;B3m2XKSYaHvlT7qUvhUhhF2CCjrvx0RKV3dk0G3sSBy4xk4GfYBTK/WE1xBuBvkYRTtpsOfQ0OFI&#10;rx3V3+WPUXA7FnQ+YnP72JfV6X1bxNtTVSn1sJpfnkF4mv2/+M/9phWEreFKuAEyu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XFjwQAAANoAAAAPAAAAAAAAAAAAAAAA&#10;AKECAABkcnMvZG93bnJldi54bWxQSwUGAAAAAAQABAD5AAAAjwMAAAAA&#10;">
                  <v:stroke startarrow="block" endarrow="block"/>
                </v:shape>
                <v:shape id="Text Box 12" o:spid="_x0000_s1036" type="#_x0000_t202" style="position:absolute;left:26903;top:11831;width:15181;height:6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Человеческий</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капитал</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rPr>
                            <w:rFonts w:ascii="Times New Roman" w:hAnsi="Times New Roman"/>
                            <w:sz w:val="24"/>
                            <w:szCs w:val="24"/>
                          </w:rPr>
                        </w:pPr>
                      </w:p>
                    </w:txbxContent>
                  </v:textbox>
                </v:shape>
                <v:shape id="Text Box 13" o:spid="_x0000_s1037" type="#_x0000_t202" style="position:absolute;left:46325;top:11363;width:13958;height:6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Информационный</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капитал</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rPr>
                            <w:rFonts w:ascii="Times New Roman" w:hAnsi="Times New Roman"/>
                            <w:sz w:val="24"/>
                            <w:szCs w:val="24"/>
                          </w:rPr>
                        </w:pPr>
                      </w:p>
                    </w:txbxContent>
                  </v:textbox>
                </v:shape>
                <v:shape id="Text Box 14" o:spid="_x0000_s1038" type="#_x0000_t202" style="position:absolute;left:16566;top:11848;width:7889;height:6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Имидж</w:t>
                        </w:r>
                      </w:p>
                      <w:p w:rsidR="00201CAC" w:rsidRDefault="00201CAC" w:rsidP="00201CAC">
                        <w:pPr>
                          <w:spacing w:after="0" w:line="240" w:lineRule="auto"/>
                          <w:jc w:val="center"/>
                          <w:rPr>
                            <w:rFonts w:ascii="Times New Roman" w:hAnsi="Times New Roman"/>
                            <w:sz w:val="24"/>
                            <w:szCs w:val="24"/>
                          </w:rPr>
                        </w:pPr>
                        <w:r>
                          <w:rPr>
                            <w:rFonts w:ascii="Times New Roman" w:hAnsi="Times New Roman"/>
                            <w:sz w:val="24"/>
                            <w:szCs w:val="24"/>
                          </w:rPr>
                          <w:t>региона</w:t>
                        </w:r>
                      </w:p>
                      <w:p w:rsidR="00201CAC" w:rsidRPr="00F8406C" w:rsidRDefault="00201CAC" w:rsidP="00201CAC">
                        <w:pPr>
                          <w:spacing w:after="0" w:line="240" w:lineRule="auto"/>
                          <w:rPr>
                            <w:rFonts w:ascii="Times New Roman" w:hAnsi="Times New Roman"/>
                            <w:sz w:val="24"/>
                            <w:szCs w:val="24"/>
                          </w:rPr>
                        </w:pPr>
                      </w:p>
                    </w:txbxContent>
                  </v:textbox>
                </v:shape>
                <v:shape id="AutoShape 15" o:spid="_x0000_s1039" type="#_x0000_t32" style="position:absolute;left:14832;top:15078;width:1734;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SuMEAAADbAAAADwAAAGRycy9kb3ducmV2LnhtbERPS4vCMBC+L/gfwgje1lRBkWoUERX3&#10;suALPY7N2BabSUli7f77jbCwt/n4njNbtKYSDTlfWlYw6CcgiDOrS84VnI6bzwkIH5A1VpZJwQ95&#10;WMw7HzNMtX3xnppDyEUMYZ+igiKEOpXSZwUZ9H1bE0fubp3BEKHLpXb4iuGmksMkGUuDJceGAmta&#10;FZQ9Dk+j4Gu7nTSy+n5cNqPx2tFtV2bnq1K9brucggjUhn/xn3un4/whvH+JB8j5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8JK4wQAAANsAAAAPAAAAAAAAAAAAAAAA&#10;AKECAABkcnMvZG93bnJldi54bWxQSwUGAAAAAAQABAD5AAAAjwMAAAAA&#10;">
                  <v:stroke startarrow="block" endarrow="block"/>
                </v:shape>
                <v:shape id="AutoShape 16" o:spid="_x0000_s1040" type="#_x0000_t32" style="position:absolute;left:24455;top:15078;width:2448;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w3I8IAAADbAAAADwAAAGRycy9kb3ducmV2LnhtbERPS4vCMBC+L/gfwgh7W9NVFKlGWURF&#10;Lws+lvU4NmNbbCYlydb6782C4G0+vudM562pREPOl5YVfPYSEMSZ1SXnCo6H1ccYhA/IGivLpOBO&#10;HuazztsUU21vvKNmH3IRQ9inqKAIoU6l9FlBBn3P1sSRu1hnMETocqkd3mK4qWQ/SUbSYMmxocCa&#10;FgVl1/2fUbBdr8eNrL6vv6vhaOnovCmzn5NS7932awIiUBte4qd7o+P8Afz/E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7w3I8IAAADbAAAADwAAAAAAAAAAAAAA&#10;AAChAgAAZHJzL2Rvd25yZXYueG1sUEsFBgAAAAAEAAQA+QAAAJADAAAAAA==&#10;">
                  <v:stroke startarrow="block" endarrow="block"/>
                </v:shape>
                <v:shape id="AutoShape 17" o:spid="_x0000_s1041" type="#_x0000_t32" style="position:absolute;left:42084;top:14840;width:4241;height:2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WvV8IAAADbAAAADwAAAGRycy9kb3ducmV2LnhtbERPS4vCMBC+L/gfwgh7W9MVFalGWURF&#10;Lws+lvU4NmNbbCYlydb6782C4G0+vudM562pREPOl5YVfPYSEMSZ1SXnCo6H1ccYhA/IGivLpOBO&#10;HuazztsUU21vvKNmH3IRQ9inqKAIoU6l9FlBBn3P1sSRu1hnMETocqkd3mK4qWQ/SUbSYMmxocCa&#10;FgVl1/2fUbBdr8eNrL6vv6vhaOnovCmzn5NS7932awIiUBte4qd7o+P8Afz/E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WvV8IAAADbAAAADwAAAAAAAAAAAAAA&#10;AAChAgAAZHJzL2Rvd25yZXYueG1sUEsFBgAAAAAEAAQA+QAAAJADAAAAAA==&#10;">
                  <v:stroke startarrow="block" endarrow="block"/>
                </v:shape>
                <v:shape id="AutoShape 18" o:spid="_x0000_s1042" type="#_x0000_t32" style="position:absolute;left:7794;top:8151;width:22764;height:36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AutoShape 19" o:spid="_x0000_s1043" type="#_x0000_t32" style="position:absolute;left:20510;top:8151;width:10048;height:36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AutoShape 20" o:spid="_x0000_s1044" type="#_x0000_t32" style="position:absolute;left:30558;top:8151;width:3935;height:3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21" o:spid="_x0000_s1045" type="#_x0000_t32" style="position:absolute;left:30558;top:8151;width:22746;height:32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Text Box 22" o:spid="_x0000_s1046" type="#_x0000_t202" style="position:absolute;left:3255;top:22846;width:56424;height:3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201CAC" w:rsidRPr="007201C8" w:rsidRDefault="00201CAC" w:rsidP="00201CAC">
                        <w:pPr>
                          <w:spacing w:after="0" w:line="240" w:lineRule="auto"/>
                          <w:jc w:val="center"/>
                          <w:rPr>
                            <w:rFonts w:ascii="Times New Roman" w:hAnsi="Times New Roman"/>
                            <w:sz w:val="24"/>
                            <w:szCs w:val="24"/>
                          </w:rPr>
                        </w:pPr>
                        <w:r w:rsidRPr="007201C8">
                          <w:rPr>
                            <w:rFonts w:ascii="Times New Roman" w:hAnsi="Times New Roman"/>
                            <w:sz w:val="24"/>
                            <w:szCs w:val="24"/>
                          </w:rPr>
                          <w:t>Инновационно-ориентированное социально-экономическое развитие региона</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 o:spid="_x0000_s1047" type="#_x0000_t67" style="position:absolute;left:23205;top:18886;width:12249;height:3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7Vv70A&#10;AADbAAAADwAAAGRycy9kb3ducmV2LnhtbERPy4rCMBTdD/gP4QruxrSCIh2jiCC48zHzAZfmTlts&#10;bmISa/x7sxBcHs57tUmmFwP50FlWUE4LEMS11R03Cv5+999LECEia+wtk4InBdisR18rrLR98JmG&#10;S2xEDuFQoYI2RldJGeqWDIapdcSZ+7feYMzQN1J7fORw08tZUSykwY5zQ4uOdi3V18vdKLgNp/KA&#10;5SIdU7o7r/fz+S46pSbjtP0BESnFj/jtPmgFs7w+f8k/QK5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x7Vv70AAADbAAAADwAAAAAAAAAAAAAAAACYAgAAZHJzL2Rvd25yZXYu&#10;eG1sUEsFBgAAAAAEAAQA9QAAAIIDAAAAAA==&#10;">
                  <v:textbox style="layout-flow:vertical-ideographic"/>
                </v:shape>
                <w10:anchorlock/>
              </v:group>
            </w:pict>
          </mc:Fallback>
        </mc:AlternateContent>
      </w:r>
    </w:p>
    <w:p w:rsidR="00201CAC" w:rsidRPr="00201CAC" w:rsidRDefault="00201CAC" w:rsidP="005541CD">
      <w:pPr>
        <w:pStyle w:val="1"/>
        <w:spacing w:after="0" w:line="240" w:lineRule="auto"/>
        <w:ind w:left="0" w:firstLine="709"/>
        <w:jc w:val="center"/>
        <w:rPr>
          <w:rFonts w:ascii="Times New Roman" w:hAnsi="Times New Roman"/>
          <w:color w:val="000000" w:themeColor="text1"/>
          <w:sz w:val="24"/>
          <w:szCs w:val="24"/>
        </w:rPr>
      </w:pPr>
      <w:r w:rsidRPr="00201CAC">
        <w:rPr>
          <w:rFonts w:ascii="Times New Roman" w:hAnsi="Times New Roman"/>
          <w:color w:val="000000" w:themeColor="text1"/>
          <w:sz w:val="24"/>
          <w:szCs w:val="24"/>
        </w:rPr>
        <w:t xml:space="preserve">Рисунок </w:t>
      </w:r>
      <w:r>
        <w:rPr>
          <w:rFonts w:ascii="Times New Roman" w:hAnsi="Times New Roman"/>
          <w:color w:val="000000" w:themeColor="text1"/>
          <w:sz w:val="24"/>
          <w:szCs w:val="24"/>
        </w:rPr>
        <w:t>1</w:t>
      </w:r>
      <w:r w:rsidRPr="00201CAC">
        <w:rPr>
          <w:rFonts w:ascii="Times New Roman" w:hAnsi="Times New Roman"/>
          <w:color w:val="000000" w:themeColor="text1"/>
          <w:sz w:val="24"/>
          <w:szCs w:val="24"/>
        </w:rPr>
        <w:t xml:space="preserve"> – Человеческий капитал в структуре региональных активов</w:t>
      </w:r>
    </w:p>
    <w:p w:rsidR="00E22FA5" w:rsidRDefault="005541CD" w:rsidP="005541CD">
      <w:pPr>
        <w:spacing w:after="0" w:line="240" w:lineRule="auto"/>
        <w:jc w:val="both"/>
        <w:rPr>
          <w:rFonts w:ascii="Times New Roman" w:hAnsi="Times New Roman"/>
          <w:sz w:val="24"/>
          <w:szCs w:val="24"/>
        </w:rPr>
      </w:pPr>
      <w:r>
        <w:rPr>
          <w:rFonts w:ascii="Times New Roman" w:hAnsi="Times New Roman"/>
          <w:sz w:val="24"/>
          <w:szCs w:val="24"/>
        </w:rPr>
        <w:t>Источник: Составлено автором</w:t>
      </w:r>
    </w:p>
    <w:p w:rsidR="005541CD" w:rsidRDefault="005541CD" w:rsidP="005541CD">
      <w:pPr>
        <w:spacing w:after="0" w:line="240" w:lineRule="auto"/>
        <w:ind w:firstLine="709"/>
        <w:jc w:val="both"/>
        <w:rPr>
          <w:rFonts w:ascii="Times New Roman" w:hAnsi="Times New Roman"/>
          <w:sz w:val="24"/>
          <w:szCs w:val="24"/>
        </w:rPr>
      </w:pPr>
    </w:p>
    <w:p w:rsidR="00797353" w:rsidRDefault="00201CAC" w:rsidP="005541CD">
      <w:pPr>
        <w:spacing w:after="0" w:line="240" w:lineRule="auto"/>
        <w:ind w:firstLine="709"/>
        <w:jc w:val="both"/>
        <w:rPr>
          <w:rFonts w:ascii="Times New Roman" w:hAnsi="Times New Roman"/>
          <w:sz w:val="24"/>
          <w:szCs w:val="24"/>
        </w:rPr>
      </w:pPr>
      <w:r w:rsidRPr="00201CAC">
        <w:rPr>
          <w:rFonts w:ascii="Times New Roman" w:hAnsi="Times New Roman"/>
          <w:sz w:val="24"/>
          <w:szCs w:val="24"/>
        </w:rPr>
        <w:t xml:space="preserve">В условиях перехода к экономике знаний и формирования информационного общества материальные и финансовые активы постепенно теряют свою значимость и уступают доминирующее место нематериальным активом. Вместе с тем, базисом нематериальных ресурсов региона становится человеческий капитал региона. При этом эффективное формирование использование человеческого капитала может обеспечить переход региона на инновационно-ориентированную модель экономики. Вместе с тем, существенным фактором формирования инновационной экономики является «креативный», «творческий», «инновационный» человеческий капитал региона. Современные процессы формирования экономики знаний заключаются не только в повышении качественных характеристик человеческого капитала, уровня жизни населения, но и в производстве и коммерциализации научных знаний, высоких технологий, инноваций и высококачественных услуг и др. При этом современная парадигма управления региональным развитием основывается на подходе, где высококачественный человеческий капитал разрабатывает и генерирует инновации, а также становится «главным драйвером развития, создания высоких технологий, непрерывной модернизации экономики, роста и развития индустрии знаний и </w:t>
      </w:r>
      <w:r w:rsidRPr="00201CAC">
        <w:rPr>
          <w:rFonts w:ascii="Times New Roman" w:hAnsi="Times New Roman"/>
          <w:sz w:val="24"/>
          <w:szCs w:val="24"/>
          <w:lang w:val="en-US"/>
        </w:rPr>
        <w:t>IT</w:t>
      </w:r>
      <w:r w:rsidRPr="00201CAC">
        <w:rPr>
          <w:rFonts w:ascii="Times New Roman" w:hAnsi="Times New Roman"/>
          <w:sz w:val="24"/>
          <w:szCs w:val="24"/>
        </w:rPr>
        <w:t>-технологий [</w:t>
      </w:r>
      <w:r w:rsidR="00E22FA5">
        <w:rPr>
          <w:rFonts w:ascii="Times New Roman" w:hAnsi="Times New Roman"/>
          <w:sz w:val="24"/>
          <w:szCs w:val="24"/>
        </w:rPr>
        <w:t>4, с.67</w:t>
      </w:r>
      <w:r w:rsidRPr="00201CAC">
        <w:rPr>
          <w:rFonts w:ascii="Times New Roman" w:hAnsi="Times New Roman"/>
          <w:sz w:val="24"/>
          <w:szCs w:val="24"/>
        </w:rPr>
        <w:t xml:space="preserve">]». Вышеизложенное позволяет заключить, что человеческий капитал в настоящее время важнейший элемент региональной экономической системы. </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 xml:space="preserve">Современное экономическое пространство РФ характеризуется углублением пространственной неоднородности и усилением межрегиональной дифференциации в социально-экономическом развитии субъектов РФ. Такое положение дел обусловлено тем, что каждый регион имеет свои территориальные демографические, природно-ресурсные, социально-экономические особенности, которые обусловливают различные возможности для </w:t>
      </w:r>
      <w:r w:rsidRPr="00202590">
        <w:rPr>
          <w:rFonts w:ascii="Times New Roman" w:hAnsi="Times New Roman"/>
          <w:sz w:val="24"/>
          <w:szCs w:val="24"/>
        </w:rPr>
        <w:lastRenderedPageBreak/>
        <w:t>формирования, развития и использования человеческого капитала. Так, в 2016 г. по ключевому макроэкономическому индикатору уровня развития экономики региона – валовому региональному продукту (ВРП) разрыв составил 15 раз.</w:t>
      </w:r>
    </w:p>
    <w:p w:rsidR="00797353" w:rsidRPr="00202590" w:rsidRDefault="00797353" w:rsidP="005541CD">
      <w:pPr>
        <w:spacing w:after="0" w:line="240" w:lineRule="auto"/>
        <w:ind w:firstLine="709"/>
        <w:jc w:val="both"/>
        <w:rPr>
          <w:rFonts w:ascii="Times New Roman" w:hAnsi="Times New Roman"/>
          <w:bCs/>
          <w:sz w:val="24"/>
          <w:szCs w:val="24"/>
        </w:rPr>
      </w:pPr>
      <w:r w:rsidRPr="00202590">
        <w:rPr>
          <w:rFonts w:ascii="Times New Roman" w:hAnsi="Times New Roman"/>
          <w:sz w:val="24"/>
          <w:szCs w:val="24"/>
        </w:rPr>
        <w:t>Республика Башкортостан по величине ВРП в 2016 г. занимает 9 место среди субъектов РФ (</w:t>
      </w:r>
      <w:r w:rsidRPr="00202590">
        <w:rPr>
          <w:rFonts w:ascii="Times New Roman" w:hAnsi="Times New Roman"/>
          <w:bCs/>
          <w:sz w:val="24"/>
          <w:szCs w:val="24"/>
        </w:rPr>
        <w:t xml:space="preserve">1317,4 млрд. руб.). </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bCs/>
          <w:sz w:val="24"/>
          <w:szCs w:val="24"/>
        </w:rPr>
        <w:t xml:space="preserve">В структуре производства ВРП республики также произошли существенные изменения за исследуемый период. Так, в 2005 г. в структуре производства ВРП региона наибольшую долю занимали </w:t>
      </w:r>
      <w:r w:rsidRPr="00202590">
        <w:rPr>
          <w:rFonts w:ascii="Times New Roman" w:hAnsi="Times New Roman"/>
          <w:sz w:val="24"/>
          <w:szCs w:val="24"/>
        </w:rPr>
        <w:t>обрабатываю</w:t>
      </w:r>
      <w:r w:rsidRPr="00202590">
        <w:rPr>
          <w:rFonts w:ascii="Times New Roman" w:eastAsia="Calibri" w:hAnsi="Times New Roman"/>
          <w:sz w:val="24"/>
          <w:szCs w:val="24"/>
        </w:rPr>
        <w:t>щие производства</w:t>
      </w:r>
      <w:r w:rsidRPr="00202590">
        <w:rPr>
          <w:rFonts w:ascii="Times New Roman" w:hAnsi="Times New Roman"/>
          <w:sz w:val="24"/>
          <w:szCs w:val="24"/>
        </w:rPr>
        <w:t xml:space="preserve"> (27,7%), добыча полезных ископаемых (12,7 %), оптовая и розничная торговля и др. (10,5%), сельское хозяйство (10,4 %), транспорт и  связь (10,1), то в 2016 г. значительно сократилось вклад добыча полезных ископаемых (3,2 %), сельского хозяйства (7,2 %), транспорта и связи (7,6 %) и, наоборот, увеличился вклад обрабатываю</w:t>
      </w:r>
      <w:r w:rsidRPr="00202590">
        <w:rPr>
          <w:rFonts w:ascii="Times New Roman" w:eastAsia="Calibri" w:hAnsi="Times New Roman"/>
          <w:sz w:val="24"/>
          <w:szCs w:val="24"/>
        </w:rPr>
        <w:t>щи</w:t>
      </w:r>
      <w:r w:rsidRPr="00202590">
        <w:rPr>
          <w:rFonts w:ascii="Times New Roman" w:hAnsi="Times New Roman"/>
          <w:sz w:val="24"/>
          <w:szCs w:val="24"/>
        </w:rPr>
        <w:t>х</w:t>
      </w:r>
      <w:r w:rsidRPr="00202590">
        <w:rPr>
          <w:rFonts w:ascii="Times New Roman" w:eastAsia="Calibri" w:hAnsi="Times New Roman"/>
          <w:sz w:val="24"/>
          <w:szCs w:val="24"/>
        </w:rPr>
        <w:t xml:space="preserve"> производств</w:t>
      </w:r>
      <w:r w:rsidRPr="00202590">
        <w:rPr>
          <w:rFonts w:ascii="Times New Roman" w:hAnsi="Times New Roman"/>
          <w:sz w:val="24"/>
          <w:szCs w:val="24"/>
        </w:rPr>
        <w:t xml:space="preserve"> (29,2%), оптовой и розничной торговли и др. (18,0%), строительства (8,5%).</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 xml:space="preserve">В 2015 г. республика занимала 2 место по объему отгруженных товаров собственного производства, выполняемых работ и услуг собственными силами (1273,6 млрд. руб.) среди регионов ПФО, уступая только Республике Татарстан (1966,5 млрд. руб.). При этом в структуре промышленного производства наибольший удельный вес занимают обрабатывающие производства (73,3%). Вместе с тем, основной вклад в обрабатывающие производства республики приносят такие виды экономической деятельности как </w:t>
      </w:r>
      <w:r w:rsidRPr="00202590">
        <w:rPr>
          <w:rFonts w:ascii="Times New Roman" w:eastAsia="Calibri" w:hAnsi="Times New Roman"/>
          <w:sz w:val="24"/>
          <w:szCs w:val="24"/>
        </w:rPr>
        <w:t>произ</w:t>
      </w:r>
      <w:r w:rsidRPr="00202590">
        <w:rPr>
          <w:rFonts w:ascii="Times New Roman" w:hAnsi="Times New Roman"/>
          <w:sz w:val="24"/>
          <w:szCs w:val="24"/>
        </w:rPr>
        <w:t>водство кокса и нефтепродуктов,</w:t>
      </w:r>
      <w:r w:rsidRPr="00202590">
        <w:rPr>
          <w:rFonts w:ascii="Times New Roman" w:eastAsia="Calibri" w:hAnsi="Times New Roman"/>
          <w:sz w:val="24"/>
          <w:szCs w:val="24"/>
        </w:rPr>
        <w:t xml:space="preserve"> химиче</w:t>
      </w:r>
      <w:r w:rsidRPr="00202590">
        <w:rPr>
          <w:rFonts w:ascii="Times New Roman" w:hAnsi="Times New Roman"/>
          <w:sz w:val="24"/>
          <w:szCs w:val="24"/>
        </w:rPr>
        <w:t xml:space="preserve">ское производство, производство </w:t>
      </w:r>
      <w:r w:rsidRPr="00202590">
        <w:rPr>
          <w:rFonts w:ascii="Times New Roman" w:eastAsia="Calibri" w:hAnsi="Times New Roman"/>
          <w:sz w:val="24"/>
          <w:szCs w:val="24"/>
        </w:rPr>
        <w:t>рези</w:t>
      </w:r>
      <w:r w:rsidRPr="00202590">
        <w:rPr>
          <w:rFonts w:ascii="Times New Roman" w:hAnsi="Times New Roman"/>
          <w:sz w:val="24"/>
          <w:szCs w:val="24"/>
        </w:rPr>
        <w:t>новых</w:t>
      </w:r>
      <w:r w:rsidRPr="00202590">
        <w:rPr>
          <w:rFonts w:ascii="Times New Roman" w:eastAsia="Calibri" w:hAnsi="Times New Roman"/>
          <w:sz w:val="24"/>
          <w:szCs w:val="24"/>
        </w:rPr>
        <w:t xml:space="preserve"> и пластмассо</w:t>
      </w:r>
      <w:r w:rsidRPr="00202590">
        <w:rPr>
          <w:rFonts w:ascii="Times New Roman" w:hAnsi="Times New Roman"/>
          <w:sz w:val="24"/>
          <w:szCs w:val="24"/>
        </w:rPr>
        <w:t xml:space="preserve">вых </w:t>
      </w:r>
      <w:r w:rsidRPr="00202590">
        <w:rPr>
          <w:rFonts w:ascii="Times New Roman" w:eastAsia="Calibri" w:hAnsi="Times New Roman"/>
          <w:sz w:val="24"/>
          <w:szCs w:val="24"/>
        </w:rPr>
        <w:t>изделий</w:t>
      </w:r>
      <w:r w:rsidRPr="00202590">
        <w:rPr>
          <w:rFonts w:ascii="Times New Roman" w:hAnsi="Times New Roman"/>
          <w:sz w:val="24"/>
          <w:szCs w:val="24"/>
        </w:rPr>
        <w:t xml:space="preserve"> (62,9 %) и </w:t>
      </w:r>
      <w:r w:rsidRPr="00202590">
        <w:rPr>
          <w:rFonts w:ascii="Times New Roman" w:eastAsia="Calibri" w:hAnsi="Times New Roman"/>
          <w:sz w:val="24"/>
          <w:szCs w:val="24"/>
        </w:rPr>
        <w:t xml:space="preserve">производство </w:t>
      </w:r>
      <w:r w:rsidRPr="00202590">
        <w:rPr>
          <w:rFonts w:ascii="Times New Roman" w:eastAsia="Calibri" w:hAnsi="Times New Roman"/>
          <w:sz w:val="24"/>
          <w:szCs w:val="24"/>
        </w:rPr>
        <w:br/>
        <w:t>ма</w:t>
      </w:r>
      <w:r w:rsidRPr="00202590">
        <w:rPr>
          <w:rFonts w:ascii="Times New Roman" w:hAnsi="Times New Roman"/>
          <w:sz w:val="24"/>
          <w:szCs w:val="24"/>
        </w:rPr>
        <w:t xml:space="preserve">шин, транспортных средств и </w:t>
      </w:r>
      <w:r w:rsidRPr="00202590">
        <w:rPr>
          <w:rFonts w:ascii="Times New Roman" w:eastAsia="Calibri" w:hAnsi="Times New Roman"/>
          <w:sz w:val="24"/>
          <w:szCs w:val="24"/>
        </w:rPr>
        <w:t>оборудования</w:t>
      </w:r>
      <w:r w:rsidRPr="00202590">
        <w:rPr>
          <w:rFonts w:ascii="Times New Roman" w:hAnsi="Times New Roman"/>
          <w:sz w:val="24"/>
          <w:szCs w:val="24"/>
        </w:rPr>
        <w:t xml:space="preserve"> (14,7 %) и др.</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Объем отгруженных товаров собственного производства, выполняемых работ и услуг собственными силами по видам экономической деятельности на душу населения</w:t>
      </w:r>
      <w:r w:rsidRPr="00202590">
        <w:rPr>
          <w:rFonts w:ascii="Times New Roman" w:hAnsi="Times New Roman"/>
          <w:bCs/>
          <w:sz w:val="24"/>
          <w:szCs w:val="24"/>
        </w:rPr>
        <w:t xml:space="preserve"> Республики Башкортостан увеличился в 9 раз за исследуемый период с 2000 г. по 2016 г. По этому показателю РБ в 2016 г. занимает 7 место после</w:t>
      </w:r>
      <w:r w:rsidRPr="00202590">
        <w:rPr>
          <w:rFonts w:ascii="Times New Roman" w:hAnsi="Times New Roman"/>
          <w:sz w:val="24"/>
          <w:szCs w:val="24"/>
        </w:rPr>
        <w:t xml:space="preserve"> </w:t>
      </w:r>
      <w:r w:rsidRPr="00202590">
        <w:rPr>
          <w:rFonts w:ascii="Times New Roman" w:hAnsi="Times New Roman"/>
          <w:bCs/>
          <w:sz w:val="24"/>
          <w:szCs w:val="24"/>
        </w:rPr>
        <w:t>Республики Татарстан, Пермского края, Самарской и Нижегородской областей, Республики Удмуртии. Оренбургской области.</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В 2016 г. объем инвестиций в основной капитал Республики Башкортостан составляет 360,9 млрд. руб. (или 2,5 % от общего объема инвестиций в основной капитал РФ). По этому показателю республика занимала 10 место среди субъектов Российской Федерации и 2 место по ПФО, уступая на 43,8 % Республике Татарстан</w:t>
      </w:r>
      <w:r w:rsidRPr="00202590">
        <w:rPr>
          <w:rFonts w:ascii="Times New Roman" w:hAnsi="Times New Roman"/>
          <w:bCs/>
          <w:sz w:val="24"/>
          <w:szCs w:val="24"/>
        </w:rPr>
        <w:t>.</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Инвестиции в основной капитал на душу населения</w:t>
      </w:r>
      <w:r w:rsidRPr="00202590">
        <w:rPr>
          <w:rFonts w:ascii="Times New Roman" w:hAnsi="Times New Roman"/>
          <w:bCs/>
          <w:sz w:val="24"/>
          <w:szCs w:val="24"/>
        </w:rPr>
        <w:t xml:space="preserve"> РБ в 2016 г. составляет 88,7 тыс. руб., что на 14 % выше, чем в 2015 г. </w:t>
      </w:r>
      <w:r w:rsidRPr="00202590">
        <w:rPr>
          <w:rFonts w:ascii="Times New Roman" w:hAnsi="Times New Roman"/>
          <w:sz w:val="24"/>
          <w:szCs w:val="24"/>
        </w:rPr>
        <w:t xml:space="preserve">Среди регионов ПФО РБ занимает третье место, после Республики Татарстан (значение показателя выше почти в 2 раза) и Республики Удмуртия. Наибольший удельный вес инвестиций в основной капитал </w:t>
      </w:r>
      <w:r w:rsidRPr="00202590">
        <w:rPr>
          <w:rFonts w:ascii="Times New Roman" w:hAnsi="Times New Roman"/>
          <w:bCs/>
          <w:sz w:val="24"/>
          <w:szCs w:val="24"/>
        </w:rPr>
        <w:t>Республики Башкортостан</w:t>
      </w:r>
      <w:r w:rsidRPr="00202590">
        <w:rPr>
          <w:rFonts w:ascii="Times New Roman" w:hAnsi="Times New Roman"/>
          <w:sz w:val="24"/>
          <w:szCs w:val="24"/>
        </w:rPr>
        <w:t xml:space="preserve"> по видам экономической деятельности приходиться на обрабатывающую промышленность (в 2015 г. – 35,2 %). При этом сохраняется стабильно низкий уровень инвестиций в сельском хозяйстве (4,2 %), строительстве (0,7 %), здравоохранении (1,3 %), образовании (2,2), что негативно сказываются на экономике региона. </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Вместе с тем, следует также отметить, что с 2011 г происходит снижение инновационной активности среди предприятий и организаций как по Республики Башкортостан, так и по Российской Федерации. На наш взгляд, такое положение дел обусловлено нестабильностью финансовой системы страны, ухудшение инвестиционного климата, также внешними факторами и др. В 2016 г. удельный вес инновационных предприятий РБ составил 7,3 %, что ниже среднероссийского значения (8,4 %) и среднего значения по ПФО (9,4%). По инновационной активности организаций Республика Башкортостан занимает 38 место среди субъектов РФ и 9 место по ПФО. По приросту инновационной активности Республика Башкортостан на 7 месте (0,6 п.п.).</w:t>
      </w:r>
    </w:p>
    <w:p w:rsidR="00797353" w:rsidRPr="00202590" w:rsidRDefault="00797353" w:rsidP="005541CD">
      <w:pPr>
        <w:spacing w:after="0" w:line="240" w:lineRule="auto"/>
        <w:ind w:firstLine="709"/>
        <w:jc w:val="both"/>
        <w:rPr>
          <w:rFonts w:ascii="Times New Roman" w:hAnsi="Times New Roman"/>
          <w:bCs/>
          <w:sz w:val="24"/>
          <w:szCs w:val="24"/>
        </w:rPr>
      </w:pPr>
      <w:r w:rsidRPr="00202590">
        <w:rPr>
          <w:rFonts w:ascii="Times New Roman" w:hAnsi="Times New Roman"/>
          <w:sz w:val="24"/>
          <w:szCs w:val="24"/>
        </w:rPr>
        <w:t xml:space="preserve">На инновационную активность предприятий и организаций значительной мере оказывают влияние объемы затрат на технологические инновации, так как они являются основным источниками экономического роста и научно-технического прогресса. Так, удельный вес затрат на технологические инновации Республики Башкортостан в общем </w:t>
      </w:r>
      <w:r w:rsidRPr="00202590">
        <w:rPr>
          <w:rFonts w:ascii="Times New Roman" w:hAnsi="Times New Roman"/>
          <w:sz w:val="24"/>
          <w:szCs w:val="24"/>
        </w:rPr>
        <w:lastRenderedPageBreak/>
        <w:t xml:space="preserve">объеме затрат по РФ в 2016 г. составляет 2,3 %. При этом затраты на технологические инновации в расчете на душу населения РБ составляют 7,1 тыс. руб. Вместе с тем, в 2016 г. наблюдается увеличение этого показателя на 14,5 % по сравнению с 2015 г. Среди регионов ПФО РБ занимает 5 место по затратам на технологические инновации, а в расчете на душу населения после </w:t>
      </w:r>
      <w:r w:rsidRPr="00202590">
        <w:rPr>
          <w:rFonts w:ascii="Times New Roman" w:hAnsi="Times New Roman"/>
          <w:bCs/>
          <w:sz w:val="24"/>
          <w:szCs w:val="24"/>
        </w:rPr>
        <w:t>Нижегородской области,</w:t>
      </w:r>
      <w:r w:rsidRPr="00202590">
        <w:rPr>
          <w:rFonts w:ascii="Times New Roman" w:hAnsi="Times New Roman"/>
          <w:sz w:val="24"/>
          <w:szCs w:val="24"/>
        </w:rPr>
        <w:t xml:space="preserve"> </w:t>
      </w:r>
      <w:r w:rsidRPr="00202590">
        <w:rPr>
          <w:rFonts w:ascii="Times New Roman" w:hAnsi="Times New Roman"/>
          <w:bCs/>
          <w:sz w:val="24"/>
          <w:szCs w:val="24"/>
        </w:rPr>
        <w:t>Республики Татарстан, Пермского края, Самарской области.</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Далее проанализируем структура занятости Республики Башкортостан по трем сферам экономики региона (промышленность, сельское хозяйство, торговля).</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 xml:space="preserve">В течение пятнадцати лет наблюдается тенденция снижения удельного веса занятого населения в промышленности Республики Башкортостан. Так, за исследуемый период доля занятых в промышленности снизилось на 5,4 п.п., что обусловлено соотвествующим снижением индекса промышленного производства (2000 г. – 108 % к предыдущему году, в 2016 г. – 102,9). Вместе тем, большинство профессиональных учебных заведений республики ориентированы на выпуск специалистов именно этой сфере. </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Сельское хозяйство — это второй по значимости сектор экономики РБ по удельному весу занятого населения. В сельском хозяйстве региона сосредоточен значительный как экономический, так и трудовой потенциал региона. Так, в 2016 г. доля трудящихся в сельском хозяйстве региона составляла 11,3 %., которые произвели 10,1 % валовой добавленной стоимости Республики Башкортостан. Однако за исследуемый период также наблюдается сокращение числа занятых в этом секторе экономики на 9,7 п.п., что является негативным фактором для развития АПК РБ.</w:t>
      </w:r>
    </w:p>
    <w:p w:rsidR="00797353" w:rsidRPr="00202590"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Вместе с тем, за исследуемый период увеличилась доля занятых по таким видам экономической деятельности как оптовая и розничная торговля; ремонт автотранспортных средств, мотоциклов, бытовых изделий и предметов личного пользования (на 8,2 п.п.). По доли занятых по этим видам деятельности РБ занимает 9 место (17,6 %) среди регионов ПФО, это на 1,3 п.п ниже чем по РФ и 0,2 п.п. ниже чем в среднем по ПФО.</w:t>
      </w:r>
    </w:p>
    <w:p w:rsidR="00DF230E" w:rsidRDefault="00797353" w:rsidP="005541CD">
      <w:pPr>
        <w:spacing w:after="0" w:line="240" w:lineRule="auto"/>
        <w:ind w:firstLine="709"/>
        <w:jc w:val="both"/>
        <w:rPr>
          <w:rFonts w:ascii="Times New Roman" w:hAnsi="Times New Roman"/>
          <w:sz w:val="24"/>
          <w:szCs w:val="24"/>
        </w:rPr>
      </w:pPr>
      <w:r w:rsidRPr="00202590">
        <w:rPr>
          <w:rFonts w:ascii="Times New Roman" w:hAnsi="Times New Roman"/>
          <w:sz w:val="24"/>
          <w:szCs w:val="24"/>
        </w:rPr>
        <w:t xml:space="preserve">Анализ динамики этого показателя, представленного в </w:t>
      </w:r>
      <w:r w:rsidRPr="00202590">
        <w:rPr>
          <w:rFonts w:ascii="Times New Roman" w:hAnsi="Times New Roman"/>
          <w:bCs/>
          <w:sz w:val="24"/>
          <w:szCs w:val="24"/>
        </w:rPr>
        <w:t xml:space="preserve">таблице </w:t>
      </w:r>
      <w:r w:rsidRPr="00202590">
        <w:rPr>
          <w:rFonts w:ascii="Times New Roman" w:hAnsi="Times New Roman"/>
          <w:sz w:val="24"/>
          <w:szCs w:val="24"/>
        </w:rPr>
        <w:t>что занятость по этому виду деятельности растет, несмотря на ухудшение экономической ситуации в Республике Башкортостан. Увеличение числа занятых в торговле связано со снижением удельного веса работающих в производстве и в сельском хозяйстве. Такое положение дел вызывает серьезные опасения</w:t>
      </w:r>
      <w:r w:rsidRPr="00202590">
        <w:rPr>
          <w:rFonts w:ascii="Times New Roman" w:hAnsi="Times New Roman"/>
          <w:sz w:val="24"/>
          <w:szCs w:val="24"/>
          <w:shd w:val="clear" w:color="auto" w:fill="FFFFFF"/>
        </w:rPr>
        <w:t xml:space="preserve"> относительно</w:t>
      </w:r>
      <w:r w:rsidRPr="00202590">
        <w:rPr>
          <w:rFonts w:ascii="Times New Roman" w:hAnsi="Times New Roman"/>
          <w:sz w:val="24"/>
          <w:szCs w:val="24"/>
        </w:rPr>
        <w:t xml:space="preserve"> потери воспроизводственного потенциала региона.</w:t>
      </w:r>
      <w:r>
        <w:rPr>
          <w:rFonts w:ascii="Times New Roman" w:hAnsi="Times New Roman"/>
          <w:sz w:val="24"/>
          <w:szCs w:val="24"/>
        </w:rPr>
        <w:t xml:space="preserve"> </w:t>
      </w:r>
    </w:p>
    <w:p w:rsidR="00202590" w:rsidRDefault="00797353" w:rsidP="005541CD">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Вместе с тем, </w:t>
      </w:r>
      <w:r w:rsidR="00DF230E">
        <w:rPr>
          <w:rFonts w:ascii="Times New Roman" w:hAnsi="Times New Roman"/>
          <w:sz w:val="24"/>
          <w:szCs w:val="24"/>
        </w:rPr>
        <w:t xml:space="preserve">в современных условиях </w:t>
      </w:r>
      <w:r>
        <w:rPr>
          <w:rFonts w:ascii="Times New Roman" w:hAnsi="Times New Roman"/>
          <w:sz w:val="24"/>
          <w:szCs w:val="24"/>
        </w:rPr>
        <w:t>социально-экономический анализ Республики Башкортостан показывает, что региональные нематериальные активы и в том числе человеческий капитал региона</w:t>
      </w:r>
      <w:r w:rsidR="00DF230E">
        <w:rPr>
          <w:rFonts w:ascii="Times New Roman" w:hAnsi="Times New Roman"/>
          <w:sz w:val="24"/>
          <w:szCs w:val="24"/>
        </w:rPr>
        <w:t xml:space="preserve"> как важнейший актив региона,</w:t>
      </w:r>
      <w:r>
        <w:rPr>
          <w:rFonts w:ascii="Times New Roman" w:hAnsi="Times New Roman"/>
          <w:sz w:val="24"/>
          <w:szCs w:val="24"/>
        </w:rPr>
        <w:t xml:space="preserve"> недостаточно вовлечены в</w:t>
      </w:r>
      <w:r w:rsidR="00DF230E">
        <w:rPr>
          <w:rFonts w:ascii="Times New Roman" w:hAnsi="Times New Roman"/>
          <w:sz w:val="24"/>
          <w:szCs w:val="24"/>
        </w:rPr>
        <w:t xml:space="preserve"> процесс </w:t>
      </w:r>
      <w:r>
        <w:rPr>
          <w:rFonts w:ascii="Times New Roman" w:hAnsi="Times New Roman"/>
          <w:sz w:val="24"/>
          <w:szCs w:val="24"/>
        </w:rPr>
        <w:t>воспроизводство</w:t>
      </w:r>
      <w:r w:rsidR="00DF230E">
        <w:rPr>
          <w:rFonts w:ascii="Times New Roman" w:hAnsi="Times New Roman"/>
          <w:sz w:val="24"/>
          <w:szCs w:val="24"/>
        </w:rPr>
        <w:t xml:space="preserve">. Такое положение объясняется тем, что в региональном управление до сих пор господствует материальный подход. Однако для перехода на новый уровень экономического развития российском регионам следует пересмотреть парадигму управления регионом, т.к. </w:t>
      </w:r>
      <w:r w:rsidR="00FC6150" w:rsidRPr="00201CAC">
        <w:rPr>
          <w:rFonts w:ascii="Times New Roman" w:hAnsi="Times New Roman"/>
          <w:sz w:val="24"/>
          <w:szCs w:val="24"/>
        </w:rPr>
        <w:t>инновационн</w:t>
      </w:r>
      <w:r w:rsidR="00FC6150">
        <w:rPr>
          <w:rFonts w:ascii="Times New Roman" w:hAnsi="Times New Roman"/>
          <w:sz w:val="24"/>
          <w:szCs w:val="24"/>
        </w:rPr>
        <w:t>ое</w:t>
      </w:r>
      <w:r w:rsidR="00201CAC" w:rsidRPr="00201CAC">
        <w:rPr>
          <w:rFonts w:ascii="Times New Roman" w:hAnsi="Times New Roman"/>
          <w:sz w:val="24"/>
          <w:szCs w:val="24"/>
        </w:rPr>
        <w:t xml:space="preserve"> развитие экономики региона </w:t>
      </w:r>
      <w:r>
        <w:rPr>
          <w:rFonts w:ascii="Times New Roman" w:hAnsi="Times New Roman"/>
          <w:sz w:val="24"/>
          <w:szCs w:val="24"/>
        </w:rPr>
        <w:t xml:space="preserve">во многом </w:t>
      </w:r>
      <w:r w:rsidR="00201CAC" w:rsidRPr="00201CAC">
        <w:rPr>
          <w:rFonts w:ascii="Times New Roman" w:hAnsi="Times New Roman"/>
          <w:sz w:val="24"/>
          <w:szCs w:val="24"/>
        </w:rPr>
        <w:t>зависит от человеческого капитала</w:t>
      </w:r>
      <w:r>
        <w:rPr>
          <w:rFonts w:ascii="Times New Roman" w:hAnsi="Times New Roman"/>
          <w:sz w:val="24"/>
          <w:szCs w:val="24"/>
        </w:rPr>
        <w:t xml:space="preserve"> региона</w:t>
      </w:r>
    </w:p>
    <w:p w:rsidR="000D456D" w:rsidRDefault="000D456D" w:rsidP="005541CD">
      <w:pPr>
        <w:spacing w:after="0" w:line="240" w:lineRule="auto"/>
        <w:ind w:firstLine="709"/>
        <w:rPr>
          <w:rFonts w:ascii="Times New Roman" w:hAnsi="Times New Roman"/>
          <w:sz w:val="24"/>
          <w:szCs w:val="24"/>
        </w:rPr>
      </w:pPr>
    </w:p>
    <w:p w:rsidR="00E22FA5" w:rsidRDefault="005541CD" w:rsidP="00BF7912">
      <w:pPr>
        <w:spacing w:after="0" w:line="360" w:lineRule="auto"/>
        <w:ind w:firstLine="709"/>
        <w:jc w:val="center"/>
        <w:rPr>
          <w:rFonts w:ascii="Times New Roman" w:hAnsi="Times New Roman"/>
          <w:sz w:val="24"/>
          <w:szCs w:val="24"/>
        </w:rPr>
      </w:pPr>
      <w:r w:rsidRPr="00B57129">
        <w:rPr>
          <w:rFonts w:ascii="Times New Roman" w:hAnsi="Times New Roman"/>
          <w:sz w:val="24"/>
          <w:szCs w:val="24"/>
        </w:rPr>
        <w:t>Список использованных источников</w:t>
      </w:r>
    </w:p>
    <w:p w:rsidR="00A31261" w:rsidRPr="005541CD" w:rsidRDefault="005541CD" w:rsidP="00BF7912">
      <w:pPr>
        <w:spacing w:after="0" w:line="360" w:lineRule="auto"/>
        <w:jc w:val="both"/>
        <w:rPr>
          <w:rFonts w:ascii="Verdana" w:hAnsi="Verdana"/>
          <w:sz w:val="21"/>
          <w:szCs w:val="21"/>
        </w:rPr>
      </w:pPr>
      <w:r>
        <w:rPr>
          <w:rFonts w:ascii="Times New Roman" w:hAnsi="Times New Roman"/>
          <w:sz w:val="24"/>
          <w:szCs w:val="24"/>
        </w:rPr>
        <w:t xml:space="preserve">1. </w:t>
      </w:r>
      <w:r w:rsidR="00FC6150" w:rsidRPr="005541CD">
        <w:rPr>
          <w:rFonts w:ascii="Times New Roman" w:hAnsi="Times New Roman"/>
          <w:sz w:val="24"/>
          <w:szCs w:val="24"/>
        </w:rPr>
        <w:t>Об утверждении Положения по ведению бухгалтерского учета и бухгалтерской отчетности в Российской Федерации</w:t>
      </w:r>
      <w:r w:rsidR="00A31261" w:rsidRPr="005541CD">
        <w:rPr>
          <w:rFonts w:ascii="Times New Roman" w:hAnsi="Times New Roman"/>
          <w:sz w:val="24"/>
          <w:szCs w:val="24"/>
        </w:rPr>
        <w:t>: приказ Минфина России от 29.07.1998 N 34н [Электронный ресурс].// СПС «Консультант Плюс». – Режим доступа:</w:t>
      </w:r>
      <w:r w:rsidR="00A31261" w:rsidRPr="00A31261">
        <w:t xml:space="preserve"> </w:t>
      </w:r>
      <w:r w:rsidR="00A31261" w:rsidRPr="005541CD">
        <w:rPr>
          <w:rFonts w:ascii="Times New Roman" w:hAnsi="Times New Roman"/>
          <w:sz w:val="24"/>
          <w:szCs w:val="24"/>
        </w:rPr>
        <w:t>http://www.consultant.ru/document/cons_doc_LAW_63465/adf2cfd636e9e799777ca5e7c8add8b722dced71/ (дата обращения:10.03.2019).</w:t>
      </w:r>
    </w:p>
    <w:p w:rsidR="005541CD" w:rsidRDefault="005541CD" w:rsidP="00BF7912">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2. </w:t>
      </w:r>
      <w:r w:rsidR="00E21342" w:rsidRPr="005541CD">
        <w:rPr>
          <w:rFonts w:ascii="Times New Roman" w:hAnsi="Times New Roman"/>
          <w:sz w:val="24"/>
          <w:szCs w:val="24"/>
        </w:rPr>
        <w:t>Догбаева, О.Д., Гармаева, Е.Ц.</w:t>
      </w:r>
      <w:r w:rsidR="00E21342" w:rsidRPr="00DD243D">
        <w:t xml:space="preserve"> </w:t>
      </w:r>
      <w:r w:rsidR="00E21342" w:rsidRPr="005541CD">
        <w:rPr>
          <w:rFonts w:ascii="Times New Roman" w:hAnsi="Times New Roman"/>
          <w:sz w:val="24"/>
          <w:szCs w:val="24"/>
        </w:rPr>
        <w:t xml:space="preserve">Стратегическое соответствие человеческого капитала  как ведущего элемента в составе нематериальных активов региона / О.Д. Догбаева, Е. Ц. Гармаева // Вестник бурятского государственного университета. – 2015.—№2(2). – С. 11-14. </w:t>
      </w:r>
    </w:p>
    <w:p w:rsidR="005541CD" w:rsidRDefault="005541CD" w:rsidP="00BF7912">
      <w:pPr>
        <w:spacing w:after="0" w:line="360" w:lineRule="auto"/>
        <w:jc w:val="both"/>
        <w:rPr>
          <w:rFonts w:ascii="Times New Roman" w:hAnsi="Times New Roman"/>
          <w:sz w:val="24"/>
          <w:szCs w:val="24"/>
        </w:rPr>
      </w:pPr>
      <w:r>
        <w:rPr>
          <w:rFonts w:ascii="Times New Roman" w:hAnsi="Times New Roman"/>
          <w:sz w:val="24"/>
          <w:szCs w:val="24"/>
        </w:rPr>
        <w:t>3.</w:t>
      </w:r>
      <w:r w:rsidR="00E21342" w:rsidRPr="005541CD">
        <w:rPr>
          <w:rFonts w:ascii="Times New Roman" w:hAnsi="Times New Roman"/>
          <w:sz w:val="24"/>
          <w:szCs w:val="24"/>
        </w:rPr>
        <w:t>Каплан, Р. С., Нортон, Д. П. (2007). Стратегические карты. Трансформация нематериальных активов в материальные результаты. М.: Олимп- Бизнес – 246 с.</w:t>
      </w:r>
    </w:p>
    <w:p w:rsidR="005541CD" w:rsidRDefault="005541CD" w:rsidP="00BF7912">
      <w:pPr>
        <w:spacing w:after="0" w:line="360" w:lineRule="auto"/>
        <w:jc w:val="both"/>
        <w:rPr>
          <w:rFonts w:ascii="Times New Roman" w:hAnsi="Times New Roman"/>
          <w:sz w:val="24"/>
          <w:szCs w:val="24"/>
        </w:rPr>
      </w:pPr>
      <w:r>
        <w:rPr>
          <w:rFonts w:ascii="Times New Roman" w:hAnsi="Times New Roman"/>
          <w:sz w:val="24"/>
          <w:szCs w:val="24"/>
        </w:rPr>
        <w:t>4.</w:t>
      </w:r>
      <w:r w:rsidR="00E22FA5" w:rsidRPr="005541CD">
        <w:rPr>
          <w:rFonts w:ascii="Times New Roman" w:hAnsi="Times New Roman"/>
          <w:sz w:val="24"/>
          <w:szCs w:val="24"/>
        </w:rPr>
        <w:t>Корчагин, Ю. А. Человеческий капитал как фактор роста и развития или стагнации, рецессии и деградации: Монография. / Ю. А.Корчагин – Воронеж: ЦИРЭ, 2016. – 252 с.</w:t>
      </w:r>
    </w:p>
    <w:p w:rsidR="00FC6150" w:rsidRPr="005541CD" w:rsidRDefault="00BF7912" w:rsidP="00BF7912">
      <w:pPr>
        <w:spacing w:after="0" w:line="360" w:lineRule="auto"/>
        <w:jc w:val="both"/>
        <w:rPr>
          <w:rFonts w:ascii="Times New Roman" w:hAnsi="Times New Roman"/>
          <w:sz w:val="24"/>
          <w:szCs w:val="24"/>
        </w:rPr>
      </w:pPr>
      <w:r>
        <w:rPr>
          <w:rFonts w:ascii="Times New Roman" w:hAnsi="Times New Roman"/>
          <w:sz w:val="24"/>
          <w:szCs w:val="24"/>
        </w:rPr>
        <w:t>5.</w:t>
      </w:r>
      <w:r w:rsidR="00A31261" w:rsidRPr="005541CD">
        <w:rPr>
          <w:rFonts w:ascii="Times New Roman" w:hAnsi="Times New Roman"/>
          <w:color w:val="000000" w:themeColor="text1"/>
          <w:sz w:val="24"/>
          <w:szCs w:val="24"/>
        </w:rPr>
        <w:t>Ощипков, В.М., Прудский, Г.М. Роль нематериальных активов в региональном экономическом развитии / В.М.</w:t>
      </w:r>
      <w:r w:rsidR="0005517E" w:rsidRPr="005541CD">
        <w:rPr>
          <w:rFonts w:ascii="Times New Roman" w:hAnsi="Times New Roman"/>
          <w:color w:val="000000" w:themeColor="text1"/>
          <w:sz w:val="24"/>
          <w:szCs w:val="24"/>
        </w:rPr>
        <w:t xml:space="preserve"> </w:t>
      </w:r>
      <w:r w:rsidR="00A31261" w:rsidRPr="005541CD">
        <w:rPr>
          <w:rFonts w:ascii="Times New Roman" w:hAnsi="Times New Roman"/>
          <w:color w:val="000000" w:themeColor="text1"/>
          <w:sz w:val="24"/>
          <w:szCs w:val="24"/>
        </w:rPr>
        <w:t>Ощипков, Г.М.Прудский// Экономика региона. – 2008. – №2. – С.235-240.</w:t>
      </w:r>
    </w:p>
    <w:p w:rsidR="00BF7912" w:rsidRDefault="00BF7912" w:rsidP="00382509">
      <w:pPr>
        <w:spacing w:after="0" w:line="240" w:lineRule="auto"/>
        <w:jc w:val="both"/>
        <w:rPr>
          <w:rFonts w:ascii="Times New Roman" w:hAnsi="Times New Roman"/>
          <w:sz w:val="24"/>
          <w:szCs w:val="24"/>
          <w:lang w:val="en-US"/>
        </w:rPr>
      </w:pPr>
      <w:r>
        <w:rPr>
          <w:rFonts w:ascii="Times New Roman" w:hAnsi="Times New Roman"/>
          <w:sz w:val="24"/>
          <w:szCs w:val="24"/>
        </w:rPr>
        <w:t xml:space="preserve">6. </w:t>
      </w:r>
      <w:r w:rsidR="0005517E" w:rsidRPr="00BF7912">
        <w:rPr>
          <w:rFonts w:ascii="Times New Roman" w:hAnsi="Times New Roman"/>
          <w:sz w:val="24"/>
          <w:szCs w:val="24"/>
        </w:rPr>
        <w:t xml:space="preserve">Михалкина, Е.В., Косалапова Н.А. Оценка использования  потенциала нематериальных ресурсов региона / Е.В. Михалкина, Н.А. Косалапова// </w:t>
      </w:r>
      <w:r w:rsidR="0005517E" w:rsidRPr="00BF7912">
        <w:rPr>
          <w:rFonts w:ascii="Times New Roman" w:hAnsi="Times New Roman"/>
          <w:sz w:val="24"/>
          <w:szCs w:val="24"/>
          <w:lang w:val="en-US"/>
        </w:rPr>
        <w:t>TERRA</w:t>
      </w:r>
      <w:r w:rsidR="0005517E" w:rsidRPr="00BF7912">
        <w:rPr>
          <w:rFonts w:ascii="Times New Roman" w:hAnsi="Times New Roman"/>
          <w:sz w:val="24"/>
          <w:szCs w:val="24"/>
        </w:rPr>
        <w:t xml:space="preserve"> </w:t>
      </w:r>
      <w:r w:rsidR="0005517E" w:rsidRPr="00BF7912">
        <w:rPr>
          <w:rFonts w:ascii="Times New Roman" w:hAnsi="Times New Roman"/>
          <w:sz w:val="24"/>
          <w:szCs w:val="24"/>
          <w:lang w:val="en-US"/>
        </w:rPr>
        <w:t>ECONOMUCUS</w:t>
      </w:r>
      <w:r w:rsidR="0005517E" w:rsidRPr="00BF7912">
        <w:rPr>
          <w:rFonts w:ascii="Times New Roman" w:hAnsi="Times New Roman"/>
          <w:sz w:val="24"/>
          <w:szCs w:val="24"/>
        </w:rPr>
        <w:t>. –2018.—т.1.</w:t>
      </w:r>
      <w:r w:rsidR="00DD243D" w:rsidRPr="00BF7912">
        <w:rPr>
          <w:rFonts w:ascii="Times New Roman" w:hAnsi="Times New Roman"/>
          <w:sz w:val="24"/>
          <w:szCs w:val="24"/>
        </w:rPr>
        <w:t>—</w:t>
      </w:r>
      <w:r w:rsidR="0005517E" w:rsidRPr="00BF7912">
        <w:rPr>
          <w:rFonts w:ascii="Times New Roman" w:hAnsi="Times New Roman"/>
          <w:sz w:val="24"/>
          <w:szCs w:val="24"/>
        </w:rPr>
        <w:t>№1.—С.118-133.</w:t>
      </w:r>
    </w:p>
    <w:p w:rsidR="00382509" w:rsidRPr="00382509" w:rsidRDefault="00382509" w:rsidP="00382509">
      <w:pPr>
        <w:spacing w:after="0" w:line="240" w:lineRule="auto"/>
        <w:jc w:val="both"/>
        <w:rPr>
          <w:rFonts w:ascii="Times New Roman" w:hAnsi="Times New Roman"/>
          <w:sz w:val="24"/>
          <w:szCs w:val="24"/>
          <w:lang w:val="en-US"/>
        </w:rPr>
      </w:pPr>
    </w:p>
    <w:p w:rsidR="00BF7912" w:rsidRPr="000C0FBC" w:rsidRDefault="00BF7912" w:rsidP="00BF7912">
      <w:pPr>
        <w:suppressAutoHyphens/>
        <w:spacing w:after="0" w:line="240" w:lineRule="auto"/>
        <w:ind w:firstLine="567"/>
        <w:jc w:val="center"/>
        <w:rPr>
          <w:rFonts w:ascii="Times New Roman" w:eastAsia="Calibri" w:hAnsi="Times New Roman"/>
          <w:b/>
          <w:sz w:val="24"/>
          <w:szCs w:val="24"/>
        </w:rPr>
      </w:pPr>
      <w:r w:rsidRPr="000C0FBC">
        <w:rPr>
          <w:rFonts w:ascii="Times New Roman" w:eastAsia="Calibri" w:hAnsi="Times New Roman"/>
          <w:b/>
          <w:sz w:val="24"/>
          <w:szCs w:val="24"/>
        </w:rPr>
        <w:t>Информация об авторе на русском языке</w:t>
      </w:r>
    </w:p>
    <w:p w:rsidR="00BF7912" w:rsidRPr="00BF7912" w:rsidRDefault="00BF7912" w:rsidP="00BF7912">
      <w:pPr>
        <w:spacing w:after="0" w:line="240" w:lineRule="auto"/>
        <w:jc w:val="center"/>
        <w:rPr>
          <w:rFonts w:ascii="Times New Roman" w:hAnsi="Times New Roman"/>
          <w:sz w:val="24"/>
          <w:szCs w:val="24"/>
        </w:rPr>
      </w:pPr>
      <w:r w:rsidRPr="00BF7912">
        <w:rPr>
          <w:rFonts w:ascii="Times New Roman" w:eastAsia="Calibri" w:hAnsi="Times New Roman"/>
          <w:sz w:val="24"/>
          <w:szCs w:val="24"/>
        </w:rPr>
        <w:t xml:space="preserve">Мухаметова Айгуль Данияровна (Россия, Уфа) – старший преподаватель кафедры макроэкономического развития и государственного управления, ИНЭФБ, ФГБОУ ВО «Башкирский государственный университет» (450076, г. Уфа, ул. Заки Валиди,32, </w:t>
      </w:r>
    </w:p>
    <w:p w:rsidR="00BF7912" w:rsidRPr="00BF7912" w:rsidRDefault="00BF7912" w:rsidP="00BF7912">
      <w:pPr>
        <w:spacing w:after="0" w:line="240" w:lineRule="auto"/>
        <w:jc w:val="center"/>
        <w:rPr>
          <w:rFonts w:ascii="Times New Roman" w:hAnsi="Times New Roman"/>
          <w:sz w:val="24"/>
          <w:szCs w:val="24"/>
        </w:rPr>
      </w:pPr>
      <w:r w:rsidRPr="00BF7912">
        <w:rPr>
          <w:rFonts w:ascii="Times New Roman" w:hAnsi="Times New Roman"/>
          <w:sz w:val="24"/>
          <w:szCs w:val="24"/>
        </w:rPr>
        <w:t>aigul_md_f@mail.ru</w:t>
      </w:r>
      <w:r w:rsidRPr="00BF7912">
        <w:rPr>
          <w:rFonts w:ascii="Times New Roman" w:eastAsia="Calibri" w:hAnsi="Times New Roman"/>
          <w:sz w:val="24"/>
          <w:szCs w:val="24"/>
        </w:rPr>
        <w:t>).</w:t>
      </w:r>
    </w:p>
    <w:p w:rsidR="0005517E" w:rsidRPr="00003665" w:rsidRDefault="0005517E" w:rsidP="00BF7912">
      <w:pPr>
        <w:spacing w:after="0" w:line="240" w:lineRule="auto"/>
        <w:rPr>
          <w:rFonts w:ascii="Times New Roman" w:hAnsi="Times New Roman"/>
          <w:sz w:val="24"/>
          <w:szCs w:val="24"/>
        </w:rPr>
      </w:pPr>
    </w:p>
    <w:p w:rsidR="00BF7912" w:rsidRDefault="00BF7912" w:rsidP="00BF7912">
      <w:pPr>
        <w:spacing w:after="0" w:line="240" w:lineRule="auto"/>
        <w:jc w:val="right"/>
        <w:rPr>
          <w:rFonts w:ascii="Times New Roman" w:hAnsi="Times New Roman"/>
          <w:sz w:val="24"/>
          <w:szCs w:val="24"/>
          <w:lang w:val="en-US"/>
        </w:rPr>
      </w:pPr>
      <w:r>
        <w:rPr>
          <w:rFonts w:ascii="Times New Roman" w:hAnsi="Times New Roman"/>
          <w:sz w:val="24"/>
          <w:szCs w:val="24"/>
          <w:lang w:val="en-US"/>
        </w:rPr>
        <w:t>Mukhametova A.D.</w:t>
      </w:r>
    </w:p>
    <w:p w:rsidR="00BF7912" w:rsidRDefault="00BF7912" w:rsidP="00BF7912">
      <w:pPr>
        <w:spacing w:after="0" w:line="240" w:lineRule="auto"/>
        <w:rPr>
          <w:rFonts w:ascii="Times New Roman" w:hAnsi="Times New Roman"/>
          <w:sz w:val="24"/>
          <w:szCs w:val="24"/>
          <w:lang w:val="en-US"/>
        </w:rPr>
      </w:pPr>
    </w:p>
    <w:p w:rsidR="00BF7912" w:rsidRDefault="00BF7912" w:rsidP="00BF7912">
      <w:pPr>
        <w:spacing w:after="0" w:line="360" w:lineRule="auto"/>
        <w:jc w:val="center"/>
        <w:rPr>
          <w:rFonts w:ascii="Times New Roman" w:hAnsi="Times New Roman"/>
          <w:b/>
          <w:sz w:val="24"/>
          <w:szCs w:val="24"/>
          <w:lang w:val="en-US"/>
        </w:rPr>
      </w:pPr>
      <w:r w:rsidRPr="00BF7912">
        <w:rPr>
          <w:rFonts w:ascii="Times New Roman" w:hAnsi="Times New Roman"/>
          <w:b/>
          <w:sz w:val="24"/>
          <w:szCs w:val="24"/>
          <w:lang w:val="en-US"/>
        </w:rPr>
        <w:t>THE ROLE OF HUMAN CAPITAL IN THE STRUCTURE OF REGIONAL INTANGIBLE ASSETS</w:t>
      </w:r>
    </w:p>
    <w:p w:rsidR="00BF7912" w:rsidRDefault="00BF7912" w:rsidP="00BF7912">
      <w:pPr>
        <w:spacing w:after="0" w:line="240" w:lineRule="auto"/>
        <w:jc w:val="center"/>
        <w:rPr>
          <w:rFonts w:ascii="Times New Roman" w:hAnsi="Times New Roman"/>
          <w:b/>
          <w:sz w:val="24"/>
          <w:szCs w:val="24"/>
          <w:lang w:val="en-US"/>
        </w:rPr>
      </w:pPr>
    </w:p>
    <w:p w:rsidR="00BF7912" w:rsidRPr="00BF7912" w:rsidRDefault="00BF7912" w:rsidP="00BF7912">
      <w:pPr>
        <w:spacing w:after="0" w:line="240" w:lineRule="auto"/>
        <w:ind w:firstLine="709"/>
        <w:jc w:val="both"/>
        <w:rPr>
          <w:rFonts w:ascii="Times New Roman" w:hAnsi="Times New Roman"/>
          <w:sz w:val="24"/>
          <w:szCs w:val="24"/>
          <w:lang w:val="en-US"/>
        </w:rPr>
      </w:pPr>
      <w:r w:rsidRPr="00BF7912">
        <w:rPr>
          <w:rFonts w:ascii="Times New Roman" w:hAnsi="Times New Roman"/>
          <w:sz w:val="24"/>
          <w:szCs w:val="24"/>
          <w:lang w:val="en-US"/>
        </w:rPr>
        <w:t>Annotation. Through the use of the latest achievements of science and technology in all sectors, human capital contributes to an increase in labor productivity, which will ensure the effectiveness of the regional economy as a whole. Therefore, in this article, the author substantiates the place and role of human capital in the region in the structure of regional intangible assets.</w:t>
      </w:r>
    </w:p>
    <w:p w:rsidR="00003665" w:rsidRDefault="00BF7912" w:rsidP="00BF7912">
      <w:pPr>
        <w:spacing w:after="0" w:line="240" w:lineRule="auto"/>
        <w:ind w:firstLine="709"/>
        <w:jc w:val="both"/>
        <w:rPr>
          <w:rFonts w:ascii="Times New Roman" w:hAnsi="Times New Roman"/>
          <w:sz w:val="24"/>
          <w:szCs w:val="24"/>
          <w:lang w:val="en-US"/>
        </w:rPr>
      </w:pPr>
      <w:r w:rsidRPr="00BF7912">
        <w:rPr>
          <w:rFonts w:ascii="Times New Roman" w:hAnsi="Times New Roman"/>
          <w:sz w:val="24"/>
          <w:szCs w:val="24"/>
          <w:lang w:val="en-US"/>
        </w:rPr>
        <w:t>Keywords. human capital of the region, regional intangible assets, national wealth, approaches, structure.</w:t>
      </w:r>
    </w:p>
    <w:p w:rsidR="00003665" w:rsidRDefault="00003665" w:rsidP="00003665">
      <w:pPr>
        <w:rPr>
          <w:rFonts w:ascii="Times New Roman" w:hAnsi="Times New Roman"/>
          <w:sz w:val="24"/>
          <w:szCs w:val="24"/>
          <w:lang w:val="en-US"/>
        </w:rPr>
      </w:pPr>
    </w:p>
    <w:p w:rsidR="00003665" w:rsidRDefault="00003665" w:rsidP="00382509">
      <w:pPr>
        <w:spacing w:after="0" w:line="360" w:lineRule="auto"/>
        <w:jc w:val="center"/>
        <w:rPr>
          <w:rFonts w:ascii="Times New Roman" w:hAnsi="Times New Roman"/>
          <w:sz w:val="24"/>
          <w:szCs w:val="24"/>
          <w:lang w:val="en-US"/>
        </w:rPr>
      </w:pPr>
      <w:r w:rsidRPr="00003665">
        <w:rPr>
          <w:rFonts w:ascii="Times New Roman" w:hAnsi="Times New Roman"/>
          <w:sz w:val="24"/>
          <w:szCs w:val="24"/>
          <w:lang w:val="en-US"/>
        </w:rPr>
        <w:t>List of used sources</w:t>
      </w:r>
    </w:p>
    <w:p w:rsidR="00382509" w:rsidRPr="00382509" w:rsidRDefault="00382509" w:rsidP="00382509">
      <w:pPr>
        <w:spacing w:after="0" w:line="360" w:lineRule="auto"/>
        <w:jc w:val="both"/>
        <w:rPr>
          <w:rFonts w:ascii="Times New Roman" w:hAnsi="Times New Roman"/>
          <w:sz w:val="24"/>
          <w:szCs w:val="24"/>
          <w:lang w:val="en-US"/>
        </w:rPr>
      </w:pPr>
      <w:r w:rsidRPr="00382509">
        <w:rPr>
          <w:rFonts w:ascii="Times New Roman" w:hAnsi="Times New Roman"/>
          <w:sz w:val="24"/>
          <w:szCs w:val="24"/>
          <w:lang w:val="en-US"/>
        </w:rPr>
        <w:t>1. On approval of the Regulation on accounting and financial reporting in the Russian Federation: order of the Ministry of Finance of Russia dated 07.29.1998 N 34n [Electronic resource]. / / ATP “Consultant Plus”. - Access mode: http://www.consultant.ru/document/cons_doc_LAW_63465/adf2cfd636e9e799777ca5e7c8add8b722dced71/ (access date: 10.03.2019).</w:t>
      </w:r>
    </w:p>
    <w:p w:rsidR="00382509" w:rsidRPr="00382509" w:rsidRDefault="00382509" w:rsidP="00382509">
      <w:pPr>
        <w:spacing w:after="0" w:line="360" w:lineRule="auto"/>
        <w:jc w:val="both"/>
        <w:rPr>
          <w:rFonts w:ascii="Times New Roman" w:hAnsi="Times New Roman"/>
          <w:sz w:val="24"/>
          <w:szCs w:val="24"/>
          <w:lang w:val="en-US"/>
        </w:rPr>
      </w:pPr>
      <w:r w:rsidRPr="00382509">
        <w:rPr>
          <w:rFonts w:ascii="Times New Roman" w:hAnsi="Times New Roman"/>
          <w:sz w:val="24"/>
          <w:szCs w:val="24"/>
          <w:lang w:val="en-US"/>
        </w:rPr>
        <w:t>2. Dogbaeva, OD, Garmaeva, E.TS. Strategic alignment of human capital as a leading element in the composition of the region's intangible assets / OD. Dogbaeva, E. Ts. Garmaeva // Bulletin of the Buryat State University. - 2015. — №2 (2). - S. 11-14.</w:t>
      </w:r>
    </w:p>
    <w:p w:rsidR="00382509" w:rsidRPr="00382509" w:rsidRDefault="00382509" w:rsidP="00382509">
      <w:pPr>
        <w:spacing w:after="0" w:line="360" w:lineRule="auto"/>
        <w:jc w:val="both"/>
        <w:rPr>
          <w:rFonts w:ascii="Times New Roman" w:hAnsi="Times New Roman"/>
          <w:sz w:val="24"/>
          <w:szCs w:val="24"/>
          <w:lang w:val="en-US"/>
        </w:rPr>
      </w:pPr>
      <w:r w:rsidRPr="00382509">
        <w:rPr>
          <w:rFonts w:ascii="Times New Roman" w:hAnsi="Times New Roman"/>
          <w:sz w:val="24"/>
          <w:szCs w:val="24"/>
          <w:lang w:val="en-US"/>
        </w:rPr>
        <w:lastRenderedPageBreak/>
        <w:t>3. Kaplan, R. S., Norton, D. P. (2007). Strategic maps. Transformation of intangible assets into tangible results. M .: Olimp-Business - 246 p.</w:t>
      </w:r>
    </w:p>
    <w:p w:rsidR="00382509" w:rsidRPr="00382509" w:rsidRDefault="00382509" w:rsidP="00382509">
      <w:pPr>
        <w:spacing w:after="0" w:line="360" w:lineRule="auto"/>
        <w:jc w:val="both"/>
        <w:rPr>
          <w:rFonts w:ascii="Times New Roman" w:hAnsi="Times New Roman"/>
          <w:sz w:val="24"/>
          <w:szCs w:val="24"/>
          <w:lang w:val="en-US"/>
        </w:rPr>
      </w:pPr>
      <w:r w:rsidRPr="00382509">
        <w:rPr>
          <w:rFonts w:ascii="Times New Roman" w:hAnsi="Times New Roman"/>
          <w:sz w:val="24"/>
          <w:szCs w:val="24"/>
          <w:lang w:val="en-US"/>
        </w:rPr>
        <w:t>4. Korchagin, Yu. A. Human capital as a factor of growth and development or stagnation, recession and degradation: Monograph. / Yu. A. Korchagin - Voronezh: TsIRE, 2016. - 252 p.</w:t>
      </w:r>
    </w:p>
    <w:p w:rsidR="00382509" w:rsidRPr="00382509" w:rsidRDefault="00382509" w:rsidP="00382509">
      <w:pPr>
        <w:spacing w:after="0" w:line="360" w:lineRule="auto"/>
        <w:jc w:val="both"/>
        <w:rPr>
          <w:rFonts w:ascii="Times New Roman" w:hAnsi="Times New Roman"/>
          <w:sz w:val="24"/>
          <w:szCs w:val="24"/>
          <w:lang w:val="en-US"/>
        </w:rPr>
      </w:pPr>
      <w:r w:rsidRPr="00382509">
        <w:rPr>
          <w:rFonts w:ascii="Times New Roman" w:hAnsi="Times New Roman"/>
          <w:sz w:val="24"/>
          <w:szCs w:val="24"/>
          <w:lang w:val="en-US"/>
        </w:rPr>
        <w:t>5.Ochipkov, V.M., Prudsky, G.M. The role of intangible assets in regional economic development / V.M. Oschipkov, GMPrudsky // Economy of the region. - 2008. - №2. - P.235-240.</w:t>
      </w:r>
    </w:p>
    <w:p w:rsidR="00382509" w:rsidRPr="00382509" w:rsidRDefault="00382509" w:rsidP="00382509">
      <w:pPr>
        <w:spacing w:after="0" w:line="360" w:lineRule="auto"/>
        <w:jc w:val="both"/>
        <w:rPr>
          <w:rFonts w:ascii="Times New Roman" w:hAnsi="Times New Roman"/>
          <w:sz w:val="24"/>
          <w:szCs w:val="24"/>
          <w:lang w:val="en-US"/>
        </w:rPr>
      </w:pPr>
      <w:r w:rsidRPr="00382509">
        <w:rPr>
          <w:rFonts w:ascii="Times New Roman" w:hAnsi="Times New Roman"/>
          <w:sz w:val="24"/>
          <w:szCs w:val="24"/>
          <w:lang w:val="en-US"/>
        </w:rPr>
        <w:t>6. Mikhalkina, E.V., Kosalapova N.A. Assessment of potential use of intangible resources of the region / E.V. Mikhalkin, N.A. Kosalapov // TERRA ECONOMUCUS. –2018. — t.1. — №1. — P.118-133.</w:t>
      </w:r>
    </w:p>
    <w:p w:rsidR="00003665" w:rsidRPr="000C0FBC" w:rsidRDefault="00003665" w:rsidP="00003665">
      <w:pPr>
        <w:suppressAutoHyphens/>
        <w:spacing w:after="0" w:line="240" w:lineRule="auto"/>
        <w:jc w:val="center"/>
        <w:rPr>
          <w:rFonts w:ascii="Times New Roman" w:eastAsia="Calibri" w:hAnsi="Times New Roman"/>
          <w:b/>
          <w:sz w:val="24"/>
          <w:szCs w:val="24"/>
        </w:rPr>
      </w:pPr>
      <w:r>
        <w:rPr>
          <w:rFonts w:ascii="Times New Roman" w:hAnsi="Times New Roman"/>
          <w:sz w:val="24"/>
          <w:szCs w:val="24"/>
          <w:lang w:val="en-US"/>
        </w:rPr>
        <w:tab/>
      </w:r>
      <w:r w:rsidRPr="000C0FBC">
        <w:rPr>
          <w:rFonts w:ascii="Times New Roman" w:eastAsia="Calibri" w:hAnsi="Times New Roman"/>
          <w:b/>
          <w:sz w:val="24"/>
          <w:szCs w:val="24"/>
        </w:rPr>
        <w:t>Информация об авторе на английском языке</w:t>
      </w:r>
    </w:p>
    <w:p w:rsidR="00003665" w:rsidRPr="00003665" w:rsidRDefault="00003665" w:rsidP="00003665">
      <w:pPr>
        <w:tabs>
          <w:tab w:val="left" w:pos="1073"/>
        </w:tabs>
        <w:spacing w:after="0" w:line="240" w:lineRule="auto"/>
        <w:jc w:val="center"/>
        <w:rPr>
          <w:rFonts w:ascii="Times New Roman" w:hAnsi="Times New Roman"/>
          <w:sz w:val="24"/>
          <w:szCs w:val="24"/>
          <w:lang w:val="en-US"/>
        </w:rPr>
      </w:pPr>
      <w:r w:rsidRPr="00003665">
        <w:rPr>
          <w:rFonts w:ascii="Times New Roman" w:hAnsi="Times New Roman"/>
          <w:sz w:val="24"/>
          <w:szCs w:val="24"/>
          <w:lang w:val="en-US"/>
        </w:rPr>
        <w:t>Mukhametova Aigul Daniyarovna (Russia, Ufa) - head teachers</w:t>
      </w:r>
      <w:r w:rsidRPr="00003665">
        <w:rPr>
          <w:rFonts w:ascii="Tahoma" w:hAnsi="Tahoma" w:cs="Tahoma"/>
          <w:color w:val="222222"/>
          <w:sz w:val="18"/>
          <w:szCs w:val="18"/>
          <w:shd w:val="clear" w:color="auto" w:fill="F5F5F5"/>
          <w:lang w:val="en-US"/>
        </w:rPr>
        <w:t> </w:t>
      </w:r>
      <w:r w:rsidRPr="00003665">
        <w:rPr>
          <w:rFonts w:ascii="Times New Roman" w:hAnsi="Times New Roman"/>
          <w:sz w:val="24"/>
          <w:szCs w:val="24"/>
          <w:lang w:val="en-US"/>
        </w:rPr>
        <w:t>, Department of Macroeconomic Development and State</w:t>
      </w:r>
      <w:r>
        <w:rPr>
          <w:rFonts w:ascii="Times New Roman" w:hAnsi="Times New Roman"/>
          <w:sz w:val="24"/>
          <w:szCs w:val="24"/>
          <w:lang w:val="en-US"/>
        </w:rPr>
        <w:t xml:space="preserve"> Management, </w:t>
      </w:r>
      <w:r w:rsidRPr="00003665">
        <w:rPr>
          <w:rFonts w:ascii="Times New Roman" w:hAnsi="Times New Roman"/>
          <w:sz w:val="24"/>
          <w:szCs w:val="24"/>
          <w:lang w:val="en-US"/>
        </w:rPr>
        <w:t>Bashkir State University (450076, Ufa, Zaki Validi 32,</w:t>
      </w:r>
    </w:p>
    <w:p w:rsidR="00BF7912" w:rsidRPr="00003665" w:rsidRDefault="00003665" w:rsidP="00003665">
      <w:pPr>
        <w:tabs>
          <w:tab w:val="left" w:pos="1073"/>
        </w:tabs>
        <w:spacing w:after="0" w:line="240" w:lineRule="auto"/>
        <w:jc w:val="center"/>
        <w:rPr>
          <w:rFonts w:ascii="Times New Roman" w:hAnsi="Times New Roman"/>
          <w:sz w:val="24"/>
          <w:szCs w:val="24"/>
          <w:lang w:val="en-US"/>
        </w:rPr>
      </w:pPr>
      <w:r w:rsidRPr="00003665">
        <w:rPr>
          <w:rFonts w:ascii="Times New Roman" w:hAnsi="Times New Roman"/>
          <w:sz w:val="24"/>
          <w:szCs w:val="24"/>
          <w:lang w:val="en-US"/>
        </w:rPr>
        <w:t>aigul_md_f@mail.ru).</w:t>
      </w:r>
    </w:p>
    <w:sectPr w:rsidR="00BF7912" w:rsidRPr="00003665" w:rsidSect="005541C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9371E"/>
    <w:multiLevelType w:val="hybridMultilevel"/>
    <w:tmpl w:val="509E52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3F3928C8"/>
    <w:multiLevelType w:val="hybridMultilevel"/>
    <w:tmpl w:val="5C6AE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F403C2"/>
    <w:multiLevelType w:val="multilevel"/>
    <w:tmpl w:val="C4BAA60C"/>
    <w:lvl w:ilvl="0">
      <w:start w:val="1"/>
      <w:numFmt w:val="decimal"/>
      <w:lvlText w:val="%1."/>
      <w:lvlJc w:val="left"/>
      <w:pPr>
        <w:ind w:left="928" w:hanging="360"/>
      </w:pPr>
      <w:rPr>
        <w:b w:val="0"/>
      </w:rPr>
    </w:lvl>
    <w:lvl w:ilvl="1">
      <w:start w:val="3"/>
      <w:numFmt w:val="decimal"/>
      <w:isLgl/>
      <w:lvlText w:val="%1.%2"/>
      <w:lvlJc w:val="left"/>
      <w:pPr>
        <w:ind w:left="1226" w:hanging="375"/>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CAC"/>
    <w:rsid w:val="00003665"/>
    <w:rsid w:val="0005517E"/>
    <w:rsid w:val="000D456D"/>
    <w:rsid w:val="00201CAC"/>
    <w:rsid w:val="00202590"/>
    <w:rsid w:val="00382509"/>
    <w:rsid w:val="005541CD"/>
    <w:rsid w:val="005E359B"/>
    <w:rsid w:val="00682FFF"/>
    <w:rsid w:val="00797353"/>
    <w:rsid w:val="007F3DB8"/>
    <w:rsid w:val="007F5F70"/>
    <w:rsid w:val="00812281"/>
    <w:rsid w:val="008E7602"/>
    <w:rsid w:val="00A31261"/>
    <w:rsid w:val="00B30524"/>
    <w:rsid w:val="00BF7912"/>
    <w:rsid w:val="00DD243D"/>
    <w:rsid w:val="00DF230E"/>
    <w:rsid w:val="00E21342"/>
    <w:rsid w:val="00E22FA5"/>
    <w:rsid w:val="00FC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0" type="connector" idref="#_x0000_s1041"/>
        <o:r id="V:Rule11" type="connector" idref="#_x0000_s1040"/>
        <o:r id="V:Rule12" type="connector" idref="#_x0000_s1042"/>
        <o:r id="V:Rule13" type="connector" idref="#_x0000_s1034"/>
        <o:r id="V:Rule14" type="connector" idref="#_x0000_s1045"/>
        <o:r id="V:Rule15" type="connector" idref="#_x0000_s1035"/>
        <o:r id="V:Rule16" type="connector" idref="#_x0000_s1044"/>
        <o:r id="V:Rule17" type="connector" idref="#_x0000_s1043"/>
        <o:r id="V:Rule18" type="connector" idref="#_x0000_s1039"/>
      </o:rules>
    </o:shapelayout>
  </w:shapeDefaults>
  <w:decimalSymbol w:val=","/>
  <w:listSeparator w:val=";"/>
  <w15:docId w15:val="{8C566E4B-ADB6-4C93-AF0D-629762CF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CA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qFormat/>
    <w:rsid w:val="00201CAC"/>
    <w:pPr>
      <w:ind w:left="720"/>
    </w:pPr>
    <w:rPr>
      <w:rFonts w:eastAsia="Calibri" w:cs="Calibri"/>
    </w:rPr>
  </w:style>
  <w:style w:type="paragraph" w:styleId="a3">
    <w:name w:val="List Paragraph"/>
    <w:basedOn w:val="a"/>
    <w:uiPriority w:val="34"/>
    <w:qFormat/>
    <w:rsid w:val="00FC6150"/>
    <w:pPr>
      <w:ind w:left="720"/>
      <w:contextualSpacing/>
    </w:pPr>
  </w:style>
  <w:style w:type="character" w:styleId="a4">
    <w:name w:val="Emphasis"/>
    <w:basedOn w:val="a0"/>
    <w:uiPriority w:val="20"/>
    <w:qFormat/>
    <w:rsid w:val="00003665"/>
    <w:rPr>
      <w:i/>
      <w:iCs/>
    </w:rPr>
  </w:style>
  <w:style w:type="character" w:styleId="a5">
    <w:name w:val="Hyperlink"/>
    <w:basedOn w:val="a0"/>
    <w:uiPriority w:val="99"/>
    <w:unhideWhenUsed/>
    <w:rsid w:val="000036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662815">
      <w:bodyDiv w:val="1"/>
      <w:marLeft w:val="0"/>
      <w:marRight w:val="0"/>
      <w:marTop w:val="0"/>
      <w:marBottom w:val="0"/>
      <w:divBdr>
        <w:top w:val="none" w:sz="0" w:space="0" w:color="auto"/>
        <w:left w:val="none" w:sz="0" w:space="0" w:color="auto"/>
        <w:bottom w:val="none" w:sz="0" w:space="0" w:color="auto"/>
        <w:right w:val="none" w:sz="0" w:space="0" w:color="auto"/>
      </w:divBdr>
      <w:divsChild>
        <w:div w:id="1101879965">
          <w:marLeft w:val="0"/>
          <w:marRight w:val="0"/>
          <w:marTop w:val="0"/>
          <w:marBottom w:val="0"/>
          <w:divBdr>
            <w:top w:val="none" w:sz="0" w:space="0" w:color="auto"/>
            <w:left w:val="none" w:sz="0" w:space="0" w:color="auto"/>
            <w:bottom w:val="none" w:sz="0" w:space="0" w:color="auto"/>
            <w:right w:val="none" w:sz="0" w:space="0" w:color="auto"/>
          </w:divBdr>
        </w:div>
      </w:divsChild>
    </w:div>
    <w:div w:id="20178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2486</Words>
  <Characters>14175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Екатерина Георгиевна Леонидова</cp:lastModifiedBy>
  <cp:revision>2</cp:revision>
  <dcterms:created xsi:type="dcterms:W3CDTF">2019-05-06T06:32:00Z</dcterms:created>
  <dcterms:modified xsi:type="dcterms:W3CDTF">2019-05-06T06:32:00Z</dcterms:modified>
</cp:coreProperties>
</file>