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rawings/drawing1.xml" ContentType="application/vnd.openxmlformats-officedocument.drawingml.chartshapes+xml"/>
  <Override PartName="/word/charts/chart3.xml" ContentType="application/vnd.openxmlformats-officedocument.drawingml.chart+xml"/>
  <Override PartName="/word/drawings/drawing2.xml" ContentType="application/vnd.openxmlformats-officedocument.drawingml.chartshapes+xml"/>
  <Override PartName="/word/charts/chart4.xml" ContentType="application/vnd.openxmlformats-officedocument.drawingml.chart+xml"/>
  <Override PartName="/word/drawings/drawing3.xml" ContentType="application/vnd.openxmlformats-officedocument.drawingml.chartshapes+xml"/>
  <Override PartName="/word/charts/chart5.xml" ContentType="application/vnd.openxmlformats-officedocument.drawingml.chart+xml"/>
  <Override PartName="/word/drawings/drawing4.xml" ContentType="application/vnd.openxmlformats-officedocument.drawingml.chartshapes+xml"/>
  <Override PartName="/word/charts/chart6.xml" ContentType="application/vnd.openxmlformats-officedocument.drawingml.chart+xml"/>
  <Override PartName="/word/drawings/drawing5.xml" ContentType="application/vnd.openxmlformats-officedocument.drawingml.chartshapes+xml"/>
  <Override PartName="/word/charts/chart7.xml" ContentType="application/vnd.openxmlformats-officedocument.drawingml.chart+xml"/>
  <Override PartName="/word/drawings/drawing6.xml" ContentType="application/vnd.openxmlformats-officedocument.drawingml.chartshapes+xml"/>
  <Override PartName="/word/charts/chart8.xml" ContentType="application/vnd.openxmlformats-officedocument.drawingml.chart+xml"/>
  <Override PartName="/word/drawings/drawing7.xml" ContentType="application/vnd.openxmlformats-officedocument.drawingml.chartshapes+xml"/>
  <Override PartName="/word/charts/chart9.xml" ContentType="application/vnd.openxmlformats-officedocument.drawingml.chart+xml"/>
  <Override PartName="/word/drawings/drawing8.xml" ContentType="application/vnd.openxmlformats-officedocument.drawingml.chartshapes+xml"/>
  <Override PartName="/word/charts/chart10.xml" ContentType="application/vnd.openxmlformats-officedocument.drawingml.chart+xml"/>
  <Override PartName="/word/drawings/drawing9.xml" ContentType="application/vnd.openxmlformats-officedocument.drawingml.chartshapes+xml"/>
  <Override PartName="/word/charts/chart11.xml" ContentType="application/vnd.openxmlformats-officedocument.drawingml.chart+xml"/>
  <Override PartName="/word/drawings/drawing10.xml" ContentType="application/vnd.openxmlformats-officedocument.drawingml.chartshapes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drawings/drawing11.xml" ContentType="application/vnd.openxmlformats-officedocument.drawingml.chartshapes+xml"/>
  <Override PartName="/word/charts/chart14.xml" ContentType="application/vnd.openxmlformats-officedocument.drawingml.chart+xml"/>
  <Override PartName="/word/drawings/drawing12.xml" ContentType="application/vnd.openxmlformats-officedocument.drawingml.chartshapes+xml"/>
  <Override PartName="/word/charts/chart15.xml" ContentType="application/vnd.openxmlformats-officedocument.drawingml.chart+xml"/>
  <Override PartName="/word/drawings/drawing13.xml" ContentType="application/vnd.openxmlformats-officedocument.drawingml.chartshapes+xml"/>
  <Override PartName="/word/charts/chart16.xml" ContentType="application/vnd.openxmlformats-officedocument.drawingml.chart+xml"/>
  <Override PartName="/word/drawings/drawing14.xml" ContentType="application/vnd.openxmlformats-officedocument.drawingml.chartshapes+xml"/>
  <Override PartName="/word/charts/chart17.xml" ContentType="application/vnd.openxmlformats-officedocument.drawingml.chart+xml"/>
  <Override PartName="/word/drawings/drawing15.xml" ContentType="application/vnd.openxmlformats-officedocument.drawingml.chartshapes+xml"/>
  <Override PartName="/word/charts/chart18.xml" ContentType="application/vnd.openxmlformats-officedocument.drawingml.chart+xml"/>
  <Override PartName="/word/drawings/drawing16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999" w:rsidRPr="00BA5D60" w:rsidRDefault="00381783" w:rsidP="008E2D17">
      <w:pPr>
        <w:spacing w:line="240" w:lineRule="auto"/>
        <w:ind w:firstLine="0"/>
        <w:jc w:val="center"/>
        <w:rPr>
          <w:szCs w:val="28"/>
        </w:rPr>
      </w:pPr>
      <w:r>
        <w:rPr>
          <w:b/>
          <w:bCs/>
          <w:szCs w:val="28"/>
        </w:rPr>
        <w:t>Основные тенденции</w:t>
      </w:r>
      <w:r w:rsidR="001A252A" w:rsidRPr="00BA5D60">
        <w:rPr>
          <w:b/>
          <w:bCs/>
          <w:szCs w:val="28"/>
        </w:rPr>
        <w:t xml:space="preserve"> </w:t>
      </w:r>
      <w:r w:rsidR="00373999" w:rsidRPr="00BA5D60">
        <w:rPr>
          <w:b/>
          <w:bCs/>
          <w:szCs w:val="28"/>
        </w:rPr>
        <w:t>экономической динамики региона</w:t>
      </w:r>
    </w:p>
    <w:p w:rsidR="00373999" w:rsidRDefault="00373999" w:rsidP="008E2D17">
      <w:pPr>
        <w:spacing w:line="240" w:lineRule="auto"/>
        <w:ind w:firstLine="709"/>
        <w:rPr>
          <w:szCs w:val="28"/>
        </w:rPr>
      </w:pPr>
    </w:p>
    <w:p w:rsidR="00381783" w:rsidRPr="00381783" w:rsidRDefault="00381783" w:rsidP="00381783">
      <w:pPr>
        <w:spacing w:line="240" w:lineRule="auto"/>
        <w:ind w:firstLine="709"/>
        <w:rPr>
          <w:i/>
          <w:szCs w:val="28"/>
        </w:rPr>
      </w:pPr>
      <w:r w:rsidRPr="00381783">
        <w:rPr>
          <w:i/>
          <w:szCs w:val="28"/>
        </w:rPr>
        <w:t xml:space="preserve">Аннотация. </w:t>
      </w:r>
      <w:r w:rsidRPr="00381783">
        <w:rPr>
          <w:i/>
          <w:szCs w:val="28"/>
        </w:rPr>
        <w:t>Концептуальной основой новой формы мониторинга эк</w:t>
      </w:r>
      <w:r w:rsidRPr="00381783">
        <w:rPr>
          <w:i/>
          <w:szCs w:val="28"/>
        </w:rPr>
        <w:t>о</w:t>
      </w:r>
      <w:r w:rsidRPr="00381783">
        <w:rPr>
          <w:i/>
          <w:szCs w:val="28"/>
        </w:rPr>
        <w:t>номики выступает теория национального счетоводства*. Расширен спектр рассматриваемых показателей, видоизменена форма их</w:t>
      </w:r>
      <w:r w:rsidRPr="00381783">
        <w:rPr>
          <w:i/>
          <w:szCs w:val="28"/>
        </w:rPr>
        <w:t xml:space="preserve"> </w:t>
      </w:r>
      <w:r w:rsidRPr="00381783">
        <w:rPr>
          <w:i/>
          <w:szCs w:val="28"/>
        </w:rPr>
        <w:t>представления, ра</w:t>
      </w:r>
      <w:r w:rsidRPr="00381783">
        <w:rPr>
          <w:i/>
          <w:szCs w:val="28"/>
        </w:rPr>
        <w:t>с</w:t>
      </w:r>
      <w:r w:rsidRPr="00381783">
        <w:rPr>
          <w:i/>
          <w:szCs w:val="28"/>
        </w:rPr>
        <w:t>чет ведется в сопоставимых ценах. На графиках базовым периодом являе</w:t>
      </w:r>
      <w:r w:rsidRPr="00381783">
        <w:rPr>
          <w:i/>
          <w:szCs w:val="28"/>
        </w:rPr>
        <w:t>т</w:t>
      </w:r>
      <w:r w:rsidRPr="00381783">
        <w:rPr>
          <w:i/>
          <w:szCs w:val="28"/>
        </w:rPr>
        <w:t>ся 2008 г. (высшая точка развития постсоветской экономики по больши</w:t>
      </w:r>
      <w:r w:rsidRPr="00381783">
        <w:rPr>
          <w:i/>
          <w:szCs w:val="28"/>
        </w:rPr>
        <w:t>н</w:t>
      </w:r>
      <w:r w:rsidRPr="00381783">
        <w:rPr>
          <w:i/>
          <w:szCs w:val="28"/>
        </w:rPr>
        <w:t>ству показ</w:t>
      </w:r>
      <w:r w:rsidRPr="00381783">
        <w:rPr>
          <w:i/>
          <w:szCs w:val="28"/>
        </w:rPr>
        <w:t>а</w:t>
      </w:r>
      <w:r w:rsidRPr="00381783">
        <w:rPr>
          <w:i/>
          <w:szCs w:val="28"/>
        </w:rPr>
        <w:t>телей).</w:t>
      </w:r>
    </w:p>
    <w:p w:rsidR="00381783" w:rsidRPr="00381783" w:rsidRDefault="00381783" w:rsidP="00381783">
      <w:pPr>
        <w:spacing w:line="240" w:lineRule="auto"/>
        <w:ind w:firstLine="709"/>
        <w:rPr>
          <w:i/>
          <w:szCs w:val="28"/>
        </w:rPr>
      </w:pPr>
      <w:r w:rsidRPr="00381783">
        <w:rPr>
          <w:i/>
          <w:szCs w:val="28"/>
        </w:rPr>
        <w:t>Ключевые слова: мониторинг, экономика, регион, промышленность</w:t>
      </w:r>
    </w:p>
    <w:p w:rsidR="00381783" w:rsidRPr="00381783" w:rsidRDefault="00381783" w:rsidP="008E2D17">
      <w:pPr>
        <w:spacing w:line="240" w:lineRule="auto"/>
        <w:ind w:firstLine="709"/>
        <w:rPr>
          <w:szCs w:val="28"/>
        </w:rPr>
      </w:pPr>
      <w:bookmarkStart w:id="0" w:name="_GoBack"/>
      <w:bookmarkEnd w:id="0"/>
    </w:p>
    <w:p w:rsidR="001A252A" w:rsidRPr="00B36AC9" w:rsidRDefault="004A71B4" w:rsidP="008E2D17">
      <w:pPr>
        <w:spacing w:line="240" w:lineRule="auto"/>
        <w:ind w:firstLine="709"/>
        <w:rPr>
          <w:szCs w:val="28"/>
        </w:rPr>
      </w:pPr>
      <w:r w:rsidRPr="00B36AC9">
        <w:rPr>
          <w:szCs w:val="28"/>
        </w:rPr>
        <w:t>Эффективное управление экономикой предполагает получение опер</w:t>
      </w:r>
      <w:r w:rsidRPr="00B36AC9">
        <w:rPr>
          <w:szCs w:val="28"/>
        </w:rPr>
        <w:t>а</w:t>
      </w:r>
      <w:r w:rsidRPr="00B36AC9">
        <w:rPr>
          <w:szCs w:val="28"/>
        </w:rPr>
        <w:t>тивной информации о состоянии ключевых ее сфер в мониторинговом реж</w:t>
      </w:r>
      <w:r w:rsidRPr="00B36AC9">
        <w:rPr>
          <w:szCs w:val="28"/>
        </w:rPr>
        <w:t>и</w:t>
      </w:r>
      <w:r w:rsidRPr="00B36AC9">
        <w:rPr>
          <w:szCs w:val="28"/>
        </w:rPr>
        <w:t xml:space="preserve">ме. </w:t>
      </w:r>
    </w:p>
    <w:p w:rsidR="001A252A" w:rsidRPr="00B36AC9" w:rsidRDefault="001A252A" w:rsidP="008E2D17">
      <w:pPr>
        <w:tabs>
          <w:tab w:val="num" w:pos="720"/>
        </w:tabs>
        <w:spacing w:line="240" w:lineRule="auto"/>
        <w:ind w:firstLine="709"/>
        <w:rPr>
          <w:szCs w:val="28"/>
        </w:rPr>
      </w:pPr>
      <w:r w:rsidRPr="00B36AC9">
        <w:rPr>
          <w:szCs w:val="28"/>
        </w:rPr>
        <w:t>В докладе предлагается форма мониторинга социально-экономической динамики региона. Предлагаемая структура мониторинга базируется на ко</w:t>
      </w:r>
      <w:r w:rsidRPr="00B36AC9">
        <w:rPr>
          <w:szCs w:val="28"/>
        </w:rPr>
        <w:t>н</w:t>
      </w:r>
      <w:r w:rsidRPr="00B36AC9">
        <w:rPr>
          <w:szCs w:val="28"/>
        </w:rPr>
        <w:t>цепции национального счетоводства и содержит анализ экономики по стад</w:t>
      </w:r>
      <w:r w:rsidRPr="00B36AC9">
        <w:rPr>
          <w:szCs w:val="28"/>
        </w:rPr>
        <w:t>и</w:t>
      </w:r>
      <w:r w:rsidRPr="00B36AC9">
        <w:rPr>
          <w:szCs w:val="28"/>
        </w:rPr>
        <w:t>ям общественного производства – стадии производства, ст</w:t>
      </w:r>
      <w:r w:rsidRPr="00B36AC9">
        <w:rPr>
          <w:szCs w:val="28"/>
        </w:rPr>
        <w:t>а</w:t>
      </w:r>
      <w:r w:rsidRPr="00B36AC9">
        <w:rPr>
          <w:szCs w:val="28"/>
        </w:rPr>
        <w:t>дии образования доходов и стадии их использования.</w:t>
      </w:r>
    </w:p>
    <w:p w:rsidR="00C54BDD" w:rsidRPr="00F55903" w:rsidRDefault="00C54BDD" w:rsidP="008E2D17">
      <w:pPr>
        <w:tabs>
          <w:tab w:val="num" w:pos="720"/>
        </w:tabs>
        <w:spacing w:line="240" w:lineRule="auto"/>
        <w:ind w:firstLine="709"/>
        <w:rPr>
          <w:szCs w:val="28"/>
        </w:rPr>
      </w:pPr>
      <w:r w:rsidRPr="00B36AC9">
        <w:rPr>
          <w:szCs w:val="28"/>
        </w:rPr>
        <w:t>В предлагаемой версии мониторинга акцент сделан на характеристике факторов экономического роста – производство, инвестиции, внешняя то</w:t>
      </w:r>
      <w:r w:rsidRPr="00B36AC9">
        <w:rPr>
          <w:szCs w:val="28"/>
        </w:rPr>
        <w:t>р</w:t>
      </w:r>
      <w:r w:rsidRPr="00B36AC9">
        <w:rPr>
          <w:szCs w:val="28"/>
        </w:rPr>
        <w:t>говля, потребительский спрос, а не на описание отдельных невзаимосвяза</w:t>
      </w:r>
      <w:r w:rsidRPr="00B36AC9">
        <w:rPr>
          <w:szCs w:val="28"/>
        </w:rPr>
        <w:t>н</w:t>
      </w:r>
      <w:r w:rsidRPr="00B36AC9">
        <w:rPr>
          <w:szCs w:val="28"/>
        </w:rPr>
        <w:t xml:space="preserve">ных показателей. </w:t>
      </w:r>
    </w:p>
    <w:p w:rsidR="00C54BDD" w:rsidRPr="00B36AC9" w:rsidRDefault="00C54BDD" w:rsidP="008E2D17">
      <w:pPr>
        <w:tabs>
          <w:tab w:val="num" w:pos="720"/>
        </w:tabs>
        <w:spacing w:line="240" w:lineRule="auto"/>
        <w:ind w:firstLine="709"/>
        <w:rPr>
          <w:szCs w:val="28"/>
        </w:rPr>
      </w:pPr>
      <w:proofErr w:type="gramStart"/>
      <w:r w:rsidRPr="00B36AC9">
        <w:rPr>
          <w:szCs w:val="28"/>
        </w:rPr>
        <w:t>Важным изменением в расчёте динамики стало исключение искажа</w:t>
      </w:r>
      <w:r w:rsidRPr="00B36AC9">
        <w:rPr>
          <w:szCs w:val="28"/>
        </w:rPr>
        <w:t>ю</w:t>
      </w:r>
      <w:r w:rsidRPr="00B36AC9">
        <w:rPr>
          <w:szCs w:val="28"/>
        </w:rPr>
        <w:t>щего фактора сезонности, очистка представляемого показателя от изменений предыдущих периодов, и сопоставление текущего периода со среднемеся</w:t>
      </w:r>
      <w:r w:rsidRPr="00B36AC9">
        <w:rPr>
          <w:szCs w:val="28"/>
        </w:rPr>
        <w:t>ч</w:t>
      </w:r>
      <w:r w:rsidRPr="00B36AC9">
        <w:rPr>
          <w:szCs w:val="28"/>
        </w:rPr>
        <w:t xml:space="preserve">ным значения показателя в базовом году. </w:t>
      </w:r>
      <w:proofErr w:type="gramEnd"/>
    </w:p>
    <w:p w:rsidR="00C54BDD" w:rsidRPr="00B36AC9" w:rsidRDefault="00C54BDD" w:rsidP="008E2D17">
      <w:pPr>
        <w:tabs>
          <w:tab w:val="num" w:pos="720"/>
        </w:tabs>
        <w:spacing w:line="240" w:lineRule="auto"/>
        <w:ind w:firstLine="709"/>
        <w:rPr>
          <w:szCs w:val="28"/>
        </w:rPr>
      </w:pPr>
      <w:r w:rsidRPr="00B36AC9">
        <w:rPr>
          <w:szCs w:val="28"/>
        </w:rPr>
        <w:t>Приведение индексов к уровню базового года выполнено отношением абсолютного значения показателя к среднемесячному значению в базовом году, стоимостные значения при этом очищены от инфляции. В качестве б</w:t>
      </w:r>
      <w:r w:rsidRPr="00B36AC9">
        <w:rPr>
          <w:szCs w:val="28"/>
        </w:rPr>
        <w:t>а</w:t>
      </w:r>
      <w:r w:rsidRPr="00B36AC9">
        <w:rPr>
          <w:szCs w:val="28"/>
        </w:rPr>
        <w:t>зового периода взят 2008 год.</w:t>
      </w:r>
    </w:p>
    <w:p w:rsidR="00C54BDD" w:rsidRPr="00B36AC9" w:rsidRDefault="00C54BDD" w:rsidP="008E2D17">
      <w:pPr>
        <w:pStyle w:val="a4"/>
        <w:tabs>
          <w:tab w:val="num" w:pos="720"/>
        </w:tabs>
        <w:spacing w:line="240" w:lineRule="auto"/>
        <w:ind w:left="0"/>
        <w:rPr>
          <w:rFonts w:cs="Times New Roman"/>
          <w:szCs w:val="28"/>
        </w:rPr>
      </w:pPr>
      <w:r w:rsidRPr="00B36AC9">
        <w:rPr>
          <w:rFonts w:cs="Times New Roman"/>
          <w:szCs w:val="28"/>
        </w:rPr>
        <w:t>Результаты, полученные в процессе очистки динамики месячного пок</w:t>
      </w:r>
      <w:r w:rsidRPr="00B36AC9">
        <w:rPr>
          <w:rFonts w:cs="Times New Roman"/>
          <w:szCs w:val="28"/>
        </w:rPr>
        <w:t>а</w:t>
      </w:r>
      <w:r w:rsidRPr="00B36AC9">
        <w:rPr>
          <w:rFonts w:cs="Times New Roman"/>
          <w:szCs w:val="28"/>
        </w:rPr>
        <w:t>зателя от сезонных колебаний, сопоставимы с динамикой аналогичного пок</w:t>
      </w:r>
      <w:r w:rsidRPr="00B36AC9">
        <w:rPr>
          <w:rFonts w:cs="Times New Roman"/>
          <w:szCs w:val="28"/>
        </w:rPr>
        <w:t>а</w:t>
      </w:r>
      <w:r w:rsidRPr="00B36AC9">
        <w:rPr>
          <w:rFonts w:cs="Times New Roman"/>
          <w:szCs w:val="28"/>
        </w:rPr>
        <w:t xml:space="preserve">зателя по итогам года, доступной в статистических публикациях, которая для этих целей также должна быть приведена к уровню отчетного года. </w:t>
      </w:r>
    </w:p>
    <w:p w:rsidR="00373999" w:rsidRPr="00843EB6" w:rsidRDefault="00373999" w:rsidP="008E2D17">
      <w:pPr>
        <w:tabs>
          <w:tab w:val="num" w:pos="720"/>
        </w:tabs>
        <w:spacing w:line="240" w:lineRule="auto"/>
        <w:ind w:firstLine="709"/>
        <w:rPr>
          <w:szCs w:val="28"/>
        </w:rPr>
      </w:pPr>
      <w:r w:rsidRPr="00843EB6">
        <w:rPr>
          <w:szCs w:val="28"/>
        </w:rPr>
        <w:t>Согласно теории воспроизводства основой формирования ресурсов экономики является производство (</w:t>
      </w:r>
      <w:r w:rsidRPr="00843EB6">
        <w:rPr>
          <w:szCs w:val="28"/>
          <w:lang w:val="en-US"/>
        </w:rPr>
        <w:t>I</w:t>
      </w:r>
      <w:r w:rsidRPr="00843EB6">
        <w:rPr>
          <w:szCs w:val="28"/>
        </w:rPr>
        <w:t xml:space="preserve"> стадия). В процессе производства, с о</w:t>
      </w:r>
      <w:r w:rsidRPr="00843EB6">
        <w:rPr>
          <w:szCs w:val="28"/>
        </w:rPr>
        <w:t>д</w:t>
      </w:r>
      <w:r w:rsidRPr="00843EB6">
        <w:rPr>
          <w:szCs w:val="28"/>
        </w:rPr>
        <w:t>ной стороны, выпускаются товары и услуги в их натуральном виде, с другой – создается их стоимость и добавленная стоимость, которой соответствуют образовавшиеся в производстве первичные доходы (</w:t>
      </w:r>
      <w:r w:rsidRPr="00843EB6">
        <w:rPr>
          <w:szCs w:val="28"/>
          <w:lang w:val="en-US"/>
        </w:rPr>
        <w:t>II</w:t>
      </w:r>
      <w:r w:rsidRPr="00843EB6">
        <w:rPr>
          <w:szCs w:val="28"/>
        </w:rPr>
        <w:t xml:space="preserve"> стадия). Первичные доходы после их распределения и перераспределения образуют располага</w:t>
      </w:r>
      <w:r w:rsidRPr="00843EB6">
        <w:rPr>
          <w:szCs w:val="28"/>
        </w:rPr>
        <w:t>е</w:t>
      </w:r>
      <w:r w:rsidRPr="00843EB6">
        <w:rPr>
          <w:szCs w:val="28"/>
        </w:rPr>
        <w:t>мые доходы субъектов хозяйствований и расходуются на конечный спрос (конечное потребление и валовое накопление) (</w:t>
      </w:r>
      <w:r w:rsidRPr="00843EB6">
        <w:rPr>
          <w:szCs w:val="28"/>
          <w:lang w:val="en-US"/>
        </w:rPr>
        <w:t>III</w:t>
      </w:r>
      <w:r w:rsidRPr="00843EB6">
        <w:rPr>
          <w:szCs w:val="28"/>
        </w:rPr>
        <w:t xml:space="preserve"> стадия) (рисунок 1). </w:t>
      </w:r>
    </w:p>
    <w:p w:rsidR="00373999" w:rsidRPr="00B36AC9" w:rsidRDefault="00373999" w:rsidP="008E2D17">
      <w:pPr>
        <w:tabs>
          <w:tab w:val="num" w:pos="720"/>
        </w:tabs>
        <w:spacing w:line="240" w:lineRule="auto"/>
        <w:ind w:firstLine="709"/>
        <w:rPr>
          <w:szCs w:val="28"/>
        </w:rPr>
      </w:pPr>
      <w:r w:rsidRPr="00843EB6">
        <w:rPr>
          <w:szCs w:val="28"/>
        </w:rPr>
        <w:t>Соотношения между этими показателями находятся в процессе пост</w:t>
      </w:r>
      <w:r w:rsidRPr="00843EB6">
        <w:rPr>
          <w:szCs w:val="28"/>
        </w:rPr>
        <w:t>о</w:t>
      </w:r>
      <w:r w:rsidRPr="00843EB6">
        <w:rPr>
          <w:szCs w:val="28"/>
        </w:rPr>
        <w:t>янных изменений, вытекающих из сложных производственных процессов. Они отражают результаты экономического развития, складывающиеся на о</w:t>
      </w:r>
      <w:r w:rsidRPr="00843EB6">
        <w:rPr>
          <w:szCs w:val="28"/>
        </w:rPr>
        <w:t>с</w:t>
      </w:r>
      <w:r w:rsidRPr="00843EB6">
        <w:rPr>
          <w:szCs w:val="28"/>
        </w:rPr>
        <w:lastRenderedPageBreak/>
        <w:t>нове экономических закономерностей, проводимой экономической политики и экономической конъюнктуры как внутри страны, так и за её пределами. Рассмотрение данных за ряд лет позволяет выявлять возникающие дисбала</w:t>
      </w:r>
      <w:r w:rsidRPr="00843EB6">
        <w:rPr>
          <w:szCs w:val="28"/>
        </w:rPr>
        <w:t>н</w:t>
      </w:r>
      <w:r w:rsidRPr="00843EB6">
        <w:rPr>
          <w:szCs w:val="28"/>
        </w:rPr>
        <w:t>сы и направления их разрешения.</w:t>
      </w:r>
      <w:r w:rsidRPr="00B36AC9">
        <w:rPr>
          <w:szCs w:val="28"/>
        </w:rPr>
        <w:t xml:space="preserve"> </w:t>
      </w:r>
    </w:p>
    <w:p w:rsidR="00373999" w:rsidRPr="00B36AC9" w:rsidRDefault="00373999" w:rsidP="008E2D17">
      <w:pPr>
        <w:spacing w:line="240" w:lineRule="auto"/>
        <w:ind w:firstLine="709"/>
        <w:jc w:val="center"/>
        <w:rPr>
          <w:rFonts w:eastAsia="Calibri"/>
          <w:szCs w:val="28"/>
        </w:rPr>
      </w:pPr>
    </w:p>
    <w:p w:rsidR="00AB44AA" w:rsidRDefault="00373999" w:rsidP="00AB44AA">
      <w:pPr>
        <w:spacing w:line="240" w:lineRule="auto"/>
        <w:ind w:firstLine="0"/>
        <w:jc w:val="center"/>
        <w:rPr>
          <w:rFonts w:eastAsia="Calibri"/>
          <w:szCs w:val="28"/>
        </w:rPr>
      </w:pPr>
      <w:r w:rsidRPr="00B36AC9">
        <w:rPr>
          <w:rFonts w:eastAsia="Calibri"/>
          <w:szCs w:val="28"/>
        </w:rPr>
        <w:object w:dxaOrig="8325" w:dyaOrig="38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.5pt;height:211.95pt" o:ole="">
            <v:imagedata r:id="rId9" o:title=""/>
          </v:shape>
          <o:OLEObject Type="Embed" ProgID="Visio.Drawing.11" ShapeID="_x0000_i1025" DrawAspect="Content" ObjectID="_1619261460" r:id="rId10"/>
        </w:object>
      </w:r>
    </w:p>
    <w:p w:rsidR="0084443D" w:rsidRPr="008E2D17" w:rsidRDefault="00E32A7C" w:rsidP="00B171E3">
      <w:pPr>
        <w:spacing w:line="240" w:lineRule="auto"/>
        <w:ind w:firstLine="0"/>
        <w:jc w:val="center"/>
        <w:rPr>
          <w:sz w:val="24"/>
          <w:szCs w:val="28"/>
        </w:rPr>
      </w:pPr>
      <w:r>
        <w:rPr>
          <w:sz w:val="24"/>
          <w:szCs w:val="28"/>
        </w:rPr>
        <w:t>Рис.</w:t>
      </w:r>
      <w:r w:rsidR="00373999" w:rsidRPr="008E2D17">
        <w:rPr>
          <w:sz w:val="24"/>
          <w:szCs w:val="28"/>
        </w:rPr>
        <w:t xml:space="preserve"> 1</w:t>
      </w:r>
      <w:r>
        <w:rPr>
          <w:sz w:val="24"/>
          <w:szCs w:val="28"/>
        </w:rPr>
        <w:t>.</w:t>
      </w:r>
      <w:r w:rsidR="00373999" w:rsidRPr="008E2D17">
        <w:rPr>
          <w:sz w:val="24"/>
          <w:szCs w:val="28"/>
        </w:rPr>
        <w:t xml:space="preserve"> Схема формирования и использования</w:t>
      </w:r>
      <w:r w:rsidR="00AB44AA">
        <w:rPr>
          <w:sz w:val="24"/>
          <w:szCs w:val="28"/>
        </w:rPr>
        <w:t xml:space="preserve"> </w:t>
      </w:r>
      <w:r w:rsidR="00373999" w:rsidRPr="008E2D17">
        <w:rPr>
          <w:sz w:val="24"/>
          <w:szCs w:val="28"/>
        </w:rPr>
        <w:t>валовой добавленной стоимости в экономике</w:t>
      </w:r>
    </w:p>
    <w:p w:rsidR="00373999" w:rsidRDefault="00373999" w:rsidP="008E2D17">
      <w:pPr>
        <w:pStyle w:val="a4"/>
        <w:spacing w:line="240" w:lineRule="auto"/>
        <w:ind w:left="142"/>
        <w:rPr>
          <w:rFonts w:eastAsia="Calibri" w:cs="Times New Roman"/>
          <w:szCs w:val="28"/>
        </w:rPr>
      </w:pPr>
    </w:p>
    <w:p w:rsidR="00FF717A" w:rsidRPr="008E2D17" w:rsidRDefault="008E2D17" w:rsidP="008E2D17">
      <w:pPr>
        <w:tabs>
          <w:tab w:val="num" w:pos="720"/>
        </w:tabs>
        <w:spacing w:line="240" w:lineRule="auto"/>
        <w:ind w:firstLine="709"/>
        <w:rPr>
          <w:b/>
          <w:szCs w:val="28"/>
        </w:rPr>
      </w:pPr>
      <w:r w:rsidRPr="008E2D17">
        <w:rPr>
          <w:b/>
          <w:szCs w:val="28"/>
        </w:rPr>
        <w:tab/>
      </w:r>
      <w:r w:rsidR="00FF717A" w:rsidRPr="008E2D17">
        <w:rPr>
          <w:b/>
          <w:szCs w:val="28"/>
        </w:rPr>
        <w:t>Результаты</w:t>
      </w:r>
    </w:p>
    <w:p w:rsidR="006C6719" w:rsidRDefault="006C6719" w:rsidP="008E2D17">
      <w:pPr>
        <w:spacing w:line="240" w:lineRule="auto"/>
        <w:ind w:firstLine="709"/>
        <w:rPr>
          <w:szCs w:val="28"/>
        </w:rPr>
      </w:pPr>
      <w:r>
        <w:rPr>
          <w:szCs w:val="28"/>
        </w:rPr>
        <w:t>Как уже было сказано ранее, в</w:t>
      </w:r>
      <w:r w:rsidRPr="00B36AC9">
        <w:rPr>
          <w:szCs w:val="28"/>
        </w:rPr>
        <w:t xml:space="preserve"> качестве базового периода взят 2008 год</w:t>
      </w:r>
      <w:r>
        <w:rPr>
          <w:szCs w:val="28"/>
        </w:rPr>
        <w:t>, среднемесячные значения его показателей для наглядности приравнены к ста процентам, это позволяет оценить реальную динамику показателя, освобо</w:t>
      </w:r>
      <w:r>
        <w:rPr>
          <w:szCs w:val="28"/>
        </w:rPr>
        <w:t>ж</w:t>
      </w:r>
      <w:r>
        <w:rPr>
          <w:szCs w:val="28"/>
        </w:rPr>
        <w:t xml:space="preserve">дая от необходимости производить дальнейшие пересчёты. </w:t>
      </w:r>
    </w:p>
    <w:p w:rsidR="00441C83" w:rsidRDefault="001806FC" w:rsidP="008E2D17">
      <w:pPr>
        <w:spacing w:line="240" w:lineRule="auto"/>
        <w:ind w:firstLine="709"/>
        <w:rPr>
          <w:noProof/>
          <w:szCs w:val="28"/>
          <w:lang w:eastAsia="ru-RU"/>
        </w:rPr>
      </w:pPr>
      <w:r>
        <w:rPr>
          <w:noProof/>
          <w:szCs w:val="28"/>
          <w:lang w:eastAsia="ru-RU"/>
        </w:rPr>
        <w:t>Итак, р</w:t>
      </w:r>
      <w:r w:rsidR="00441C83" w:rsidRPr="00B36AC9">
        <w:rPr>
          <w:noProof/>
          <w:szCs w:val="28"/>
          <w:lang w:eastAsia="ru-RU"/>
        </w:rPr>
        <w:t>оссийская экономика находится в состоянии стагнации, приобредшей устойчивый характер. В условиях ухудшения внешней конъюнктуры сложившаяся экономическая модель плохо справляется с задачей обеспечения интенсивного роста.</w:t>
      </w:r>
    </w:p>
    <w:p w:rsidR="00887179" w:rsidRDefault="00887179" w:rsidP="00E32A7C">
      <w:pPr>
        <w:spacing w:line="240" w:lineRule="auto"/>
        <w:ind w:firstLine="709"/>
        <w:rPr>
          <w:spacing w:val="-6"/>
          <w:szCs w:val="28"/>
        </w:rPr>
      </w:pPr>
      <w:r w:rsidRPr="00B36AC9">
        <w:rPr>
          <w:spacing w:val="-6"/>
          <w:szCs w:val="28"/>
        </w:rPr>
        <w:t>Суммарный прирост ВВП за 2009–2018 гг. составил лишь 8,5%</w:t>
      </w:r>
      <w:r w:rsidR="00E32A7C">
        <w:rPr>
          <w:spacing w:val="-6"/>
          <w:szCs w:val="28"/>
        </w:rPr>
        <w:t xml:space="preserve"> (рис. 2)</w:t>
      </w:r>
      <w:r>
        <w:rPr>
          <w:spacing w:val="-6"/>
          <w:szCs w:val="28"/>
        </w:rPr>
        <w:t>.</w:t>
      </w:r>
    </w:p>
    <w:p w:rsidR="00887179" w:rsidRPr="00B36AC9" w:rsidRDefault="00887179" w:rsidP="00E32A7C">
      <w:pPr>
        <w:spacing w:line="240" w:lineRule="auto"/>
        <w:ind w:firstLine="709"/>
        <w:rPr>
          <w:spacing w:val="-6"/>
          <w:szCs w:val="28"/>
        </w:rPr>
      </w:pPr>
      <w:r w:rsidRPr="00B36AC9">
        <w:rPr>
          <w:spacing w:val="-6"/>
          <w:szCs w:val="28"/>
        </w:rPr>
        <w:t>Итоги развития экономики Вологодской области еще скромнее – в 2009–2017 г</w:t>
      </w:r>
      <w:r>
        <w:rPr>
          <w:spacing w:val="-6"/>
          <w:szCs w:val="28"/>
        </w:rPr>
        <w:t>г. ВРП увеличился только на 3,7%</w:t>
      </w:r>
      <w:r w:rsidRPr="00B36AC9">
        <w:rPr>
          <w:spacing w:val="-6"/>
          <w:szCs w:val="28"/>
        </w:rPr>
        <w:t xml:space="preserve">. По темпам роста данного показателя область находится на 64 месте в стране. </w:t>
      </w:r>
    </w:p>
    <w:p w:rsidR="00887179" w:rsidRDefault="00887179" w:rsidP="00E32A7C">
      <w:pPr>
        <w:spacing w:line="240" w:lineRule="auto"/>
        <w:ind w:firstLine="709"/>
        <w:rPr>
          <w:szCs w:val="28"/>
        </w:rPr>
      </w:pPr>
      <w:r w:rsidRPr="00B36AC9">
        <w:rPr>
          <w:szCs w:val="28"/>
        </w:rPr>
        <w:t>В 2018 г. объем ВВП России вырос относительно 2017 г. на 2,3%.</w:t>
      </w:r>
    </w:p>
    <w:p w:rsidR="00E32A7C" w:rsidRPr="00887179" w:rsidRDefault="00E32A7C" w:rsidP="00E32A7C">
      <w:pPr>
        <w:spacing w:line="240" w:lineRule="auto"/>
        <w:ind w:firstLine="709"/>
        <w:rPr>
          <w:b/>
          <w:noProof/>
          <w:szCs w:val="28"/>
          <w:lang w:eastAsia="ru-RU"/>
        </w:rPr>
      </w:pPr>
    </w:p>
    <w:p w:rsidR="00887179" w:rsidRDefault="00E32A7C" w:rsidP="005F5B8B">
      <w:pPr>
        <w:spacing w:line="240" w:lineRule="auto"/>
        <w:ind w:firstLine="0"/>
        <w:jc w:val="center"/>
        <w:rPr>
          <w:noProof/>
          <w:szCs w:val="28"/>
          <w:lang w:eastAsia="ru-RU"/>
        </w:rPr>
      </w:pPr>
      <w:r w:rsidRPr="004F2C2B">
        <w:rPr>
          <w:noProof/>
          <w:szCs w:val="28"/>
          <w:lang w:eastAsia="ru-RU"/>
        </w:rPr>
        <w:lastRenderedPageBreak/>
        <w:drawing>
          <wp:inline distT="0" distB="0" distL="0" distR="0" wp14:anchorId="0C2143E0" wp14:editId="7335A12B">
            <wp:extent cx="5400000" cy="2520000"/>
            <wp:effectExtent l="0" t="0" r="0" b="0"/>
            <wp:docPr id="30" name="Диаграмма 3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E32A7C" w:rsidRDefault="00E32A7C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E32A7C">
        <w:rPr>
          <w:sz w:val="24"/>
          <w:szCs w:val="28"/>
        </w:rPr>
        <w:t>Рис. 2. Динамика валового продукта РФ и Вологодской области, в % к 2008 г.</w:t>
      </w:r>
    </w:p>
    <w:p w:rsidR="00AB44AA" w:rsidRPr="00E32A7C" w:rsidRDefault="00AB44AA" w:rsidP="00E32A7C">
      <w:pPr>
        <w:ind w:firstLine="0"/>
        <w:jc w:val="center"/>
        <w:rPr>
          <w:sz w:val="24"/>
          <w:szCs w:val="28"/>
        </w:rPr>
      </w:pPr>
    </w:p>
    <w:p w:rsidR="00FD10B1" w:rsidRPr="00FD10B1" w:rsidRDefault="00FD10B1" w:rsidP="00AB44AA">
      <w:pPr>
        <w:spacing w:line="240" w:lineRule="auto"/>
        <w:ind w:firstLine="709"/>
        <w:jc w:val="left"/>
        <w:rPr>
          <w:b/>
          <w:szCs w:val="28"/>
        </w:rPr>
      </w:pPr>
      <w:r>
        <w:rPr>
          <w:b/>
          <w:szCs w:val="28"/>
        </w:rPr>
        <w:t>Первая стадия – Производство.</w:t>
      </w:r>
    </w:p>
    <w:p w:rsidR="00441C83" w:rsidRPr="00B202FB" w:rsidRDefault="00441C83" w:rsidP="008E2D17">
      <w:pPr>
        <w:spacing w:line="240" w:lineRule="auto"/>
        <w:ind w:firstLine="709"/>
        <w:rPr>
          <w:spacing w:val="-2"/>
          <w:szCs w:val="28"/>
        </w:rPr>
      </w:pPr>
      <w:r w:rsidRPr="00B202FB">
        <w:rPr>
          <w:spacing w:val="-2"/>
          <w:szCs w:val="28"/>
        </w:rPr>
        <w:t xml:space="preserve">Определяющую роль в производстве валового продукта в российской экономике играет </w:t>
      </w:r>
      <w:r w:rsidRPr="00B202FB">
        <w:rPr>
          <w:i/>
          <w:spacing w:val="-2"/>
          <w:szCs w:val="28"/>
        </w:rPr>
        <w:t>промышленность</w:t>
      </w:r>
      <w:r w:rsidRPr="00B202FB">
        <w:rPr>
          <w:spacing w:val="-2"/>
          <w:szCs w:val="28"/>
        </w:rPr>
        <w:t xml:space="preserve">. Ухудшение условий экспортно-импортной деятельности и сжатие платежеспособного спроса внутри страны (о которых будет сказано ниже) тормозят ее развитие. </w:t>
      </w:r>
    </w:p>
    <w:p w:rsidR="00441C83" w:rsidRPr="00B202FB" w:rsidRDefault="00441C83" w:rsidP="008E2D17">
      <w:pPr>
        <w:spacing w:line="240" w:lineRule="auto"/>
        <w:ind w:firstLine="709"/>
        <w:rPr>
          <w:spacing w:val="-6"/>
          <w:szCs w:val="28"/>
        </w:rPr>
      </w:pPr>
      <w:r w:rsidRPr="00B202FB">
        <w:rPr>
          <w:spacing w:val="-6"/>
          <w:szCs w:val="28"/>
        </w:rPr>
        <w:t xml:space="preserve">В 2018 г. объем </w:t>
      </w:r>
      <w:proofErr w:type="spellStart"/>
      <w:r w:rsidRPr="00B202FB">
        <w:rPr>
          <w:spacing w:val="-6"/>
          <w:szCs w:val="28"/>
        </w:rPr>
        <w:t>промпроизводства</w:t>
      </w:r>
      <w:proofErr w:type="spellEnd"/>
      <w:r w:rsidRPr="00B202FB">
        <w:rPr>
          <w:spacing w:val="-6"/>
          <w:szCs w:val="28"/>
        </w:rPr>
        <w:t xml:space="preserve"> в стране увеличился по сравнению с 2017 г. на </w:t>
      </w:r>
      <w:r w:rsidR="00200A46">
        <w:rPr>
          <w:spacing w:val="-6"/>
          <w:szCs w:val="28"/>
        </w:rPr>
        <w:t>3</w:t>
      </w:r>
      <w:r w:rsidRPr="00B202FB">
        <w:rPr>
          <w:spacing w:val="-6"/>
          <w:szCs w:val="28"/>
        </w:rPr>
        <w:t>%, в Вологодской области – на 4%</w:t>
      </w:r>
      <w:r w:rsidR="00F344C7">
        <w:rPr>
          <w:spacing w:val="-6"/>
          <w:szCs w:val="28"/>
        </w:rPr>
        <w:t xml:space="preserve"> (Рис. 3)</w:t>
      </w:r>
      <w:r w:rsidRPr="00B202FB">
        <w:rPr>
          <w:spacing w:val="-6"/>
          <w:szCs w:val="28"/>
        </w:rPr>
        <w:t>.</w:t>
      </w:r>
    </w:p>
    <w:p w:rsidR="002D4BF3" w:rsidRPr="002D4BF3" w:rsidRDefault="002D4BF3" w:rsidP="008E2D17">
      <w:pPr>
        <w:spacing w:line="240" w:lineRule="auto"/>
        <w:ind w:firstLine="709"/>
        <w:rPr>
          <w:spacing w:val="-4"/>
          <w:szCs w:val="28"/>
        </w:rPr>
      </w:pPr>
    </w:p>
    <w:p w:rsidR="00441C83" w:rsidRPr="004F2C2B" w:rsidRDefault="00AE3C3F" w:rsidP="00AC1BF0">
      <w:pPr>
        <w:spacing w:line="240" w:lineRule="auto"/>
        <w:ind w:firstLine="0"/>
        <w:jc w:val="center"/>
        <w:rPr>
          <w:noProof/>
          <w:sz w:val="32"/>
          <w:szCs w:val="28"/>
          <w:lang w:eastAsia="ru-RU"/>
        </w:rPr>
      </w:pPr>
      <w:r w:rsidRPr="004F2C2B">
        <w:rPr>
          <w:noProof/>
          <w:sz w:val="32"/>
          <w:szCs w:val="28"/>
          <w:lang w:eastAsia="ru-RU"/>
        </w:rPr>
        <w:drawing>
          <wp:inline distT="0" distB="0" distL="0" distR="0" wp14:anchorId="085E718A" wp14:editId="2A366851">
            <wp:extent cx="5400000" cy="2520000"/>
            <wp:effectExtent l="0" t="0" r="0" b="0"/>
            <wp:docPr id="31" name="Диаграмма 3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B44AA" w:rsidRPr="00B171E3" w:rsidRDefault="00AE3C3F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>Рис. 3. Промышленное производство РФ и Вологодской области</w:t>
      </w:r>
    </w:p>
    <w:p w:rsidR="00AB44AA" w:rsidRDefault="00AB44AA" w:rsidP="008E2D17">
      <w:pPr>
        <w:spacing w:line="240" w:lineRule="auto"/>
        <w:ind w:firstLine="709"/>
        <w:rPr>
          <w:spacing w:val="-4"/>
          <w:szCs w:val="28"/>
        </w:rPr>
      </w:pPr>
    </w:p>
    <w:p w:rsidR="00BD3F37" w:rsidRPr="00B202FB" w:rsidRDefault="00BD3F37" w:rsidP="00BD3F37">
      <w:pPr>
        <w:spacing w:line="240" w:lineRule="auto"/>
        <w:ind w:firstLine="709"/>
        <w:rPr>
          <w:spacing w:val="-4"/>
          <w:szCs w:val="28"/>
        </w:rPr>
      </w:pPr>
      <w:r w:rsidRPr="00B202FB">
        <w:rPr>
          <w:spacing w:val="-2"/>
          <w:szCs w:val="28"/>
        </w:rPr>
        <w:t>Однако, з</w:t>
      </w:r>
      <w:r w:rsidRPr="00B202FB">
        <w:rPr>
          <w:spacing w:val="-4"/>
          <w:szCs w:val="28"/>
        </w:rPr>
        <w:t xml:space="preserve">а 2009–2018 гг. физические объемы отгрузки промышленной продукции увеличились лишь на 9%. Объемы </w:t>
      </w:r>
      <w:proofErr w:type="spellStart"/>
      <w:r w:rsidRPr="00B202FB">
        <w:rPr>
          <w:spacing w:val="-4"/>
          <w:szCs w:val="28"/>
        </w:rPr>
        <w:t>промпроизводства</w:t>
      </w:r>
      <w:proofErr w:type="spellEnd"/>
      <w:r w:rsidRPr="00B202FB">
        <w:rPr>
          <w:spacing w:val="-4"/>
          <w:szCs w:val="28"/>
        </w:rPr>
        <w:t xml:space="preserve"> в Вологодской области выросли на 24%. В то же, несмотря на значительное превышение сре</w:t>
      </w:r>
      <w:r w:rsidRPr="00B202FB">
        <w:rPr>
          <w:spacing w:val="-4"/>
          <w:szCs w:val="28"/>
        </w:rPr>
        <w:t>д</w:t>
      </w:r>
      <w:r w:rsidRPr="00B202FB">
        <w:rPr>
          <w:spacing w:val="-4"/>
          <w:szCs w:val="28"/>
        </w:rPr>
        <w:t xml:space="preserve">нероссийского темпа, область существенно уступает лидерам промышленного роста и находится на 55 месте в стране. </w:t>
      </w:r>
    </w:p>
    <w:p w:rsidR="00BD3F37" w:rsidRPr="00B36AC9" w:rsidRDefault="00BD3F37" w:rsidP="00BD3F37">
      <w:pPr>
        <w:spacing w:line="240" w:lineRule="auto"/>
        <w:ind w:firstLine="709"/>
        <w:rPr>
          <w:spacing w:val="-4"/>
          <w:szCs w:val="28"/>
        </w:rPr>
      </w:pPr>
      <w:r w:rsidRPr="00B202FB">
        <w:rPr>
          <w:spacing w:val="-4"/>
          <w:szCs w:val="28"/>
        </w:rPr>
        <w:t xml:space="preserve">Основой промышленности выступают </w:t>
      </w:r>
      <w:r w:rsidRPr="00B202FB">
        <w:rPr>
          <w:i/>
          <w:spacing w:val="-4"/>
          <w:szCs w:val="28"/>
        </w:rPr>
        <w:t>обрабатывающие производства</w:t>
      </w:r>
      <w:r>
        <w:rPr>
          <w:i/>
          <w:spacing w:val="-4"/>
          <w:szCs w:val="28"/>
        </w:rPr>
        <w:t xml:space="preserve"> (Рис. 4)</w:t>
      </w:r>
      <w:r w:rsidRPr="00B36AC9">
        <w:rPr>
          <w:spacing w:val="-4"/>
          <w:szCs w:val="28"/>
        </w:rPr>
        <w:t>.</w:t>
      </w:r>
    </w:p>
    <w:p w:rsidR="00BD3F37" w:rsidRDefault="00BD3F37" w:rsidP="008E2D17">
      <w:pPr>
        <w:spacing w:line="240" w:lineRule="auto"/>
        <w:ind w:firstLine="709"/>
        <w:rPr>
          <w:spacing w:val="-4"/>
          <w:szCs w:val="28"/>
        </w:rPr>
      </w:pPr>
    </w:p>
    <w:p w:rsidR="00AB44AA" w:rsidRDefault="00AE3C3F" w:rsidP="00AC1BF0">
      <w:pPr>
        <w:spacing w:line="240" w:lineRule="auto"/>
        <w:ind w:firstLine="0"/>
        <w:jc w:val="center"/>
        <w:rPr>
          <w:spacing w:val="-4"/>
          <w:szCs w:val="28"/>
          <w:lang w:val="en-US"/>
        </w:rPr>
      </w:pPr>
      <w:r w:rsidRPr="00B36AC9">
        <w:rPr>
          <w:noProof/>
          <w:szCs w:val="28"/>
          <w:lang w:eastAsia="ru-RU"/>
        </w:rPr>
        <w:lastRenderedPageBreak/>
        <w:drawing>
          <wp:inline distT="0" distB="0" distL="0" distR="0" wp14:anchorId="5DF3F50C" wp14:editId="730CC518">
            <wp:extent cx="5400000" cy="2520000"/>
            <wp:effectExtent l="0" t="0" r="0" b="0"/>
            <wp:docPr id="32" name="Диаграмма 3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AE3C3F" w:rsidRPr="00B171E3" w:rsidRDefault="00AE3C3F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>Рис. 4. Обрабатывающие производства РФ и Вологодской области</w:t>
      </w:r>
    </w:p>
    <w:p w:rsidR="00AE3C3F" w:rsidRPr="00AE3C3F" w:rsidRDefault="00AE3C3F" w:rsidP="008E2D17">
      <w:pPr>
        <w:spacing w:line="240" w:lineRule="auto"/>
        <w:ind w:firstLine="709"/>
        <w:rPr>
          <w:spacing w:val="-4"/>
          <w:szCs w:val="28"/>
        </w:rPr>
      </w:pPr>
    </w:p>
    <w:p w:rsidR="00BD3F37" w:rsidRPr="00B36AC9" w:rsidRDefault="00BD3F37" w:rsidP="00BD3F37">
      <w:pPr>
        <w:spacing w:line="240" w:lineRule="auto"/>
        <w:ind w:firstLine="709"/>
        <w:rPr>
          <w:noProof/>
          <w:spacing w:val="-6"/>
          <w:szCs w:val="28"/>
          <w:lang w:eastAsia="ru-RU"/>
        </w:rPr>
      </w:pPr>
      <w:r w:rsidRPr="00B36AC9">
        <w:rPr>
          <w:noProof/>
          <w:spacing w:val="-6"/>
          <w:szCs w:val="28"/>
          <w:lang w:eastAsia="ru-RU"/>
        </w:rPr>
        <w:t>В 2018 г. объем производства в обрабатывающей промышленности РФ увели</w:t>
      </w:r>
      <w:r>
        <w:rPr>
          <w:noProof/>
          <w:spacing w:val="-6"/>
          <w:szCs w:val="28"/>
          <w:lang w:eastAsia="ru-RU"/>
        </w:rPr>
        <w:t>чился относительно 2017 г. на два с половиной процента</w:t>
      </w:r>
      <w:r w:rsidRPr="00B36AC9">
        <w:rPr>
          <w:noProof/>
          <w:spacing w:val="-6"/>
          <w:szCs w:val="28"/>
          <w:lang w:eastAsia="ru-RU"/>
        </w:rPr>
        <w:t>, Вологодской области – на 4%.</w:t>
      </w:r>
    </w:p>
    <w:p w:rsidR="00BD3F37" w:rsidRDefault="00BD3F37" w:rsidP="008E2D17">
      <w:pPr>
        <w:spacing w:line="240" w:lineRule="auto"/>
        <w:ind w:firstLine="709"/>
        <w:rPr>
          <w:spacing w:val="-4"/>
          <w:szCs w:val="28"/>
        </w:rPr>
      </w:pPr>
    </w:p>
    <w:p w:rsidR="0076729A" w:rsidRPr="00B36AC9" w:rsidRDefault="0076729A" w:rsidP="008E2D17">
      <w:pPr>
        <w:spacing w:line="240" w:lineRule="auto"/>
        <w:ind w:firstLine="709"/>
        <w:rPr>
          <w:spacing w:val="-4"/>
          <w:szCs w:val="28"/>
        </w:rPr>
      </w:pPr>
      <w:r w:rsidRPr="00B36AC9">
        <w:rPr>
          <w:spacing w:val="-4"/>
          <w:szCs w:val="28"/>
        </w:rPr>
        <w:t>Одним из наиболее динамично развивающихся секторов обрабатыва</w:t>
      </w:r>
      <w:r w:rsidRPr="00B36AC9">
        <w:rPr>
          <w:spacing w:val="-4"/>
          <w:szCs w:val="28"/>
        </w:rPr>
        <w:t>ю</w:t>
      </w:r>
      <w:r w:rsidRPr="00B36AC9">
        <w:rPr>
          <w:spacing w:val="-4"/>
          <w:szCs w:val="28"/>
        </w:rPr>
        <w:t xml:space="preserve">щей промышленности в </w:t>
      </w:r>
      <w:r w:rsidRPr="00F344C7">
        <w:rPr>
          <w:spacing w:val="-4"/>
          <w:szCs w:val="28"/>
        </w:rPr>
        <w:t xml:space="preserve">2018 г. стал </w:t>
      </w:r>
      <w:r w:rsidRPr="00F344C7">
        <w:rPr>
          <w:i/>
          <w:spacing w:val="-4"/>
          <w:szCs w:val="28"/>
        </w:rPr>
        <w:t>сектор конечного спроса</w:t>
      </w:r>
      <w:r w:rsidR="00F344C7">
        <w:rPr>
          <w:i/>
          <w:spacing w:val="-4"/>
          <w:szCs w:val="28"/>
        </w:rPr>
        <w:t xml:space="preserve"> (Рис. 5)</w:t>
      </w:r>
      <w:r w:rsidRPr="00F344C7">
        <w:rPr>
          <w:spacing w:val="-4"/>
          <w:szCs w:val="28"/>
        </w:rPr>
        <w:t xml:space="preserve">. </w:t>
      </w:r>
    </w:p>
    <w:p w:rsidR="00AE3C3F" w:rsidRPr="00381783" w:rsidRDefault="00AE3C3F" w:rsidP="008E2D17">
      <w:pPr>
        <w:spacing w:line="240" w:lineRule="auto"/>
        <w:ind w:firstLine="709"/>
        <w:rPr>
          <w:noProof/>
          <w:spacing w:val="-6"/>
          <w:szCs w:val="28"/>
          <w:lang w:eastAsia="ru-RU"/>
        </w:rPr>
      </w:pPr>
    </w:p>
    <w:p w:rsidR="00AE3C3F" w:rsidRDefault="00AE3C3F" w:rsidP="00AC1BF0">
      <w:pPr>
        <w:spacing w:line="240" w:lineRule="auto"/>
        <w:ind w:firstLine="0"/>
        <w:jc w:val="center"/>
        <w:rPr>
          <w:noProof/>
          <w:spacing w:val="-6"/>
          <w:szCs w:val="28"/>
          <w:lang w:val="en-US" w:eastAsia="ru-RU"/>
        </w:rPr>
      </w:pPr>
      <w:r w:rsidRPr="007832A3">
        <w:rPr>
          <w:noProof/>
          <w:sz w:val="18"/>
          <w:szCs w:val="28"/>
          <w:lang w:eastAsia="ru-RU"/>
        </w:rPr>
        <w:drawing>
          <wp:inline distT="0" distB="0" distL="0" distR="0" wp14:anchorId="300FC638" wp14:editId="683415B4">
            <wp:extent cx="5400000" cy="2520000"/>
            <wp:effectExtent l="0" t="0" r="0" b="0"/>
            <wp:docPr id="46" name="Диаграмма 4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AE3C3F" w:rsidRDefault="00AE3C3F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>Рис. 5. Динамика пищевого производства РФ и Вологодской области</w:t>
      </w:r>
    </w:p>
    <w:p w:rsidR="00BD3F37" w:rsidRDefault="00BD3F37" w:rsidP="00B171E3">
      <w:pPr>
        <w:spacing w:line="240" w:lineRule="auto"/>
        <w:ind w:firstLine="0"/>
        <w:jc w:val="center"/>
        <w:rPr>
          <w:sz w:val="24"/>
          <w:szCs w:val="28"/>
        </w:rPr>
      </w:pPr>
    </w:p>
    <w:p w:rsidR="00BD3F37" w:rsidRPr="00B36AC9" w:rsidRDefault="00BD3F37" w:rsidP="00BD3F37">
      <w:pPr>
        <w:spacing w:line="240" w:lineRule="auto"/>
        <w:ind w:firstLine="709"/>
        <w:rPr>
          <w:spacing w:val="-4"/>
          <w:szCs w:val="28"/>
        </w:rPr>
      </w:pPr>
      <w:r w:rsidRPr="00B36AC9">
        <w:rPr>
          <w:spacing w:val="-4"/>
          <w:szCs w:val="28"/>
        </w:rPr>
        <w:t>Пищевое производство в целом по РФ</w:t>
      </w:r>
      <w:r>
        <w:rPr>
          <w:spacing w:val="-4"/>
          <w:szCs w:val="28"/>
        </w:rPr>
        <w:t>, как и по Вологодской области,</w:t>
      </w:r>
      <w:r w:rsidRPr="00B36AC9">
        <w:rPr>
          <w:spacing w:val="-4"/>
          <w:szCs w:val="28"/>
        </w:rPr>
        <w:t xml:space="preserve"> увеличилось за год на 5%. </w:t>
      </w:r>
    </w:p>
    <w:p w:rsidR="00BD3F37" w:rsidRPr="00BD3F37" w:rsidRDefault="00BD3F37" w:rsidP="00BD3F37">
      <w:pPr>
        <w:spacing w:line="240" w:lineRule="auto"/>
        <w:ind w:firstLine="709"/>
        <w:rPr>
          <w:noProof/>
          <w:spacing w:val="-6"/>
          <w:szCs w:val="28"/>
          <w:lang w:eastAsia="ru-RU"/>
        </w:rPr>
      </w:pPr>
      <w:r w:rsidRPr="00B36AC9">
        <w:rPr>
          <w:noProof/>
          <w:spacing w:val="-6"/>
          <w:szCs w:val="28"/>
          <w:lang w:eastAsia="ru-RU"/>
        </w:rPr>
        <w:t>Существенно выросли объемы целлюлозно-бумажного и полиграфическог</w:t>
      </w:r>
      <w:r>
        <w:rPr>
          <w:noProof/>
          <w:spacing w:val="-6"/>
          <w:szCs w:val="28"/>
          <w:lang w:eastAsia="ru-RU"/>
        </w:rPr>
        <w:t>о производства: в стране – на 13</w:t>
      </w:r>
      <w:r w:rsidRPr="00B36AC9">
        <w:rPr>
          <w:noProof/>
          <w:spacing w:val="-6"/>
          <w:szCs w:val="28"/>
          <w:lang w:eastAsia="ru-RU"/>
        </w:rPr>
        <w:t>%, в Вологодской области – на 6%</w:t>
      </w:r>
      <w:r>
        <w:rPr>
          <w:noProof/>
          <w:spacing w:val="-6"/>
          <w:szCs w:val="28"/>
          <w:lang w:eastAsia="ru-RU"/>
        </w:rPr>
        <w:t xml:space="preserve"> (Рис. 6)</w:t>
      </w:r>
      <w:r w:rsidRPr="00B36AC9">
        <w:rPr>
          <w:noProof/>
          <w:spacing w:val="-6"/>
          <w:szCs w:val="28"/>
          <w:lang w:eastAsia="ru-RU"/>
        </w:rPr>
        <w:t>.</w:t>
      </w:r>
    </w:p>
    <w:p w:rsidR="00AE3C3F" w:rsidRPr="00AE3C3F" w:rsidRDefault="00AE3C3F" w:rsidP="008E2D17">
      <w:pPr>
        <w:spacing w:line="240" w:lineRule="auto"/>
        <w:ind w:firstLine="709"/>
        <w:rPr>
          <w:noProof/>
          <w:spacing w:val="-6"/>
          <w:szCs w:val="28"/>
          <w:lang w:eastAsia="ru-RU"/>
        </w:rPr>
      </w:pPr>
    </w:p>
    <w:p w:rsidR="00AE3C3F" w:rsidRPr="00AE3C3F" w:rsidRDefault="00AE3C3F" w:rsidP="00AC1BF0">
      <w:pPr>
        <w:spacing w:line="240" w:lineRule="auto"/>
        <w:ind w:firstLine="0"/>
        <w:jc w:val="center"/>
        <w:rPr>
          <w:noProof/>
          <w:spacing w:val="-6"/>
          <w:szCs w:val="28"/>
          <w:lang w:eastAsia="ru-RU"/>
        </w:rPr>
      </w:pPr>
      <w:r w:rsidRPr="007832A3">
        <w:rPr>
          <w:noProof/>
          <w:sz w:val="18"/>
          <w:szCs w:val="28"/>
          <w:lang w:eastAsia="ru-RU"/>
        </w:rPr>
        <w:lastRenderedPageBreak/>
        <w:drawing>
          <wp:inline distT="0" distB="0" distL="0" distR="0" wp14:anchorId="2F739909" wp14:editId="00C2A93E">
            <wp:extent cx="5400000" cy="2520000"/>
            <wp:effectExtent l="0" t="0" r="0" b="0"/>
            <wp:docPr id="47" name="Диаграмма 4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B171E3" w:rsidRDefault="00AE3C3F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 xml:space="preserve">Рис. 6. Динамика целлюлозно-бумажного и полиграфического производства РФ и </w:t>
      </w:r>
    </w:p>
    <w:p w:rsidR="00AE3C3F" w:rsidRPr="00B171E3" w:rsidRDefault="00AE3C3F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>Вологодской области</w:t>
      </w:r>
    </w:p>
    <w:p w:rsidR="007832A3" w:rsidRDefault="007832A3" w:rsidP="008E2D17">
      <w:pPr>
        <w:spacing w:line="240" w:lineRule="auto"/>
        <w:ind w:firstLine="709"/>
        <w:rPr>
          <w:spacing w:val="-4"/>
          <w:szCs w:val="28"/>
          <w:highlight w:val="cyan"/>
        </w:rPr>
      </w:pPr>
    </w:p>
    <w:p w:rsidR="0076729A" w:rsidRPr="00B36AC9" w:rsidRDefault="0076729A" w:rsidP="008E2D17">
      <w:pPr>
        <w:spacing w:line="240" w:lineRule="auto"/>
        <w:ind w:firstLine="709"/>
        <w:rPr>
          <w:spacing w:val="-4"/>
          <w:szCs w:val="28"/>
        </w:rPr>
      </w:pPr>
      <w:r w:rsidRPr="00B202FB">
        <w:rPr>
          <w:spacing w:val="-4"/>
          <w:szCs w:val="28"/>
        </w:rPr>
        <w:t xml:space="preserve">В </w:t>
      </w:r>
      <w:r w:rsidRPr="00B202FB">
        <w:rPr>
          <w:i/>
          <w:spacing w:val="-4"/>
          <w:szCs w:val="28"/>
        </w:rPr>
        <w:t>секторе промежуточного спроса</w:t>
      </w:r>
      <w:r w:rsidRPr="00B202FB">
        <w:rPr>
          <w:spacing w:val="-4"/>
          <w:szCs w:val="28"/>
        </w:rPr>
        <w:t>, который</w:t>
      </w:r>
      <w:r w:rsidRPr="00B36AC9">
        <w:rPr>
          <w:spacing w:val="-4"/>
          <w:szCs w:val="28"/>
        </w:rPr>
        <w:t xml:space="preserve"> в значительной степени ориентирован на экспорт, в 2018 г. также наблюдался рост производства.</w:t>
      </w:r>
    </w:p>
    <w:p w:rsidR="0076729A" w:rsidRDefault="0076729A" w:rsidP="008E2D17">
      <w:pPr>
        <w:spacing w:line="240" w:lineRule="auto"/>
        <w:ind w:firstLine="709"/>
        <w:rPr>
          <w:spacing w:val="-4"/>
          <w:szCs w:val="28"/>
        </w:rPr>
      </w:pPr>
      <w:r w:rsidRPr="00B36AC9">
        <w:rPr>
          <w:spacing w:val="-4"/>
          <w:szCs w:val="28"/>
        </w:rPr>
        <w:t>Деревообработка в целом РФ выросла за год на 1</w:t>
      </w:r>
      <w:r w:rsidR="00200A46">
        <w:rPr>
          <w:spacing w:val="-4"/>
          <w:szCs w:val="28"/>
        </w:rPr>
        <w:t>1</w:t>
      </w:r>
      <w:r w:rsidRPr="00B36AC9">
        <w:rPr>
          <w:spacing w:val="-4"/>
          <w:szCs w:val="28"/>
        </w:rPr>
        <w:t xml:space="preserve">%, в области – на </w:t>
      </w:r>
      <w:r w:rsidR="00200A46">
        <w:rPr>
          <w:spacing w:val="-4"/>
          <w:szCs w:val="28"/>
        </w:rPr>
        <w:t>5</w:t>
      </w:r>
      <w:r w:rsidRPr="00B36AC9">
        <w:rPr>
          <w:spacing w:val="-4"/>
          <w:szCs w:val="28"/>
        </w:rPr>
        <w:t>%</w:t>
      </w:r>
      <w:r w:rsidR="00CE13E6">
        <w:rPr>
          <w:spacing w:val="-4"/>
          <w:szCs w:val="28"/>
        </w:rPr>
        <w:t xml:space="preserve"> (Рис. 7)</w:t>
      </w:r>
      <w:r w:rsidRPr="00B36AC9">
        <w:rPr>
          <w:spacing w:val="-4"/>
          <w:szCs w:val="28"/>
        </w:rPr>
        <w:t>. Наибольший прирост зафиксирован в производстве древесноструже</w:t>
      </w:r>
      <w:r w:rsidRPr="00B36AC9">
        <w:rPr>
          <w:spacing w:val="-4"/>
          <w:szCs w:val="28"/>
        </w:rPr>
        <w:t>ч</w:t>
      </w:r>
      <w:r w:rsidRPr="00B36AC9">
        <w:rPr>
          <w:spacing w:val="-4"/>
          <w:szCs w:val="28"/>
        </w:rPr>
        <w:t xml:space="preserve">ных плит: по стране – на 17%, по области – на 14%. </w:t>
      </w:r>
    </w:p>
    <w:p w:rsidR="00BD3F37" w:rsidRDefault="00BD3F37" w:rsidP="008E2D17">
      <w:pPr>
        <w:spacing w:line="240" w:lineRule="auto"/>
        <w:ind w:firstLine="709"/>
        <w:rPr>
          <w:spacing w:val="-4"/>
          <w:szCs w:val="28"/>
        </w:rPr>
      </w:pPr>
    </w:p>
    <w:p w:rsidR="00AE3C3F" w:rsidRPr="00AC1BF0" w:rsidRDefault="000259BE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AC1BF0">
        <w:rPr>
          <w:noProof/>
          <w:sz w:val="18"/>
          <w:szCs w:val="28"/>
          <w:lang w:eastAsia="ru-RU"/>
        </w:rPr>
        <w:drawing>
          <wp:inline distT="0" distB="0" distL="0" distR="0" wp14:anchorId="3FFEA22D" wp14:editId="26A05E55">
            <wp:extent cx="5400000" cy="2520000"/>
            <wp:effectExtent l="0" t="0" r="0" b="0"/>
            <wp:docPr id="48" name="Диаграмма 4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AE3C3F" w:rsidRDefault="000259BE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>Рис. 7. Динамика деревообработки РФ и Вологодской области</w:t>
      </w:r>
    </w:p>
    <w:p w:rsidR="00BD3F37" w:rsidRDefault="00BD3F37" w:rsidP="00B171E3">
      <w:pPr>
        <w:spacing w:line="240" w:lineRule="auto"/>
        <w:ind w:firstLine="0"/>
        <w:jc w:val="center"/>
        <w:rPr>
          <w:sz w:val="24"/>
          <w:szCs w:val="28"/>
        </w:rPr>
      </w:pPr>
    </w:p>
    <w:p w:rsidR="00BD3F37" w:rsidRPr="00B36AC9" w:rsidRDefault="00BD3F37" w:rsidP="00BD3F37">
      <w:pPr>
        <w:spacing w:line="240" w:lineRule="auto"/>
        <w:ind w:firstLine="709"/>
        <w:rPr>
          <w:spacing w:val="-4"/>
          <w:szCs w:val="28"/>
        </w:rPr>
      </w:pPr>
      <w:r>
        <w:rPr>
          <w:spacing w:val="-4"/>
          <w:szCs w:val="28"/>
        </w:rPr>
        <w:t xml:space="preserve">В </w:t>
      </w:r>
      <w:proofErr w:type="gramStart"/>
      <w:r>
        <w:rPr>
          <w:spacing w:val="-4"/>
          <w:szCs w:val="28"/>
        </w:rPr>
        <w:t>химическом</w:t>
      </w:r>
      <w:proofErr w:type="gramEnd"/>
      <w:r>
        <w:rPr>
          <w:spacing w:val="-4"/>
          <w:szCs w:val="28"/>
        </w:rPr>
        <w:t xml:space="preserve"> и нефтехимической промышленности страны  произво</w:t>
      </w:r>
      <w:r>
        <w:rPr>
          <w:spacing w:val="-4"/>
          <w:szCs w:val="28"/>
        </w:rPr>
        <w:t>д</w:t>
      </w:r>
      <w:r>
        <w:rPr>
          <w:spacing w:val="-4"/>
          <w:szCs w:val="28"/>
        </w:rPr>
        <w:t xml:space="preserve">ство выросло на </w:t>
      </w:r>
      <w:r w:rsidRPr="00B36AC9">
        <w:rPr>
          <w:spacing w:val="-4"/>
          <w:szCs w:val="28"/>
        </w:rPr>
        <w:t>2%</w:t>
      </w:r>
      <w:r>
        <w:rPr>
          <w:spacing w:val="-4"/>
          <w:szCs w:val="28"/>
        </w:rPr>
        <w:t>, Вологодской области – на 8</w:t>
      </w:r>
      <w:r w:rsidRPr="00B36AC9">
        <w:rPr>
          <w:spacing w:val="-4"/>
          <w:szCs w:val="28"/>
        </w:rPr>
        <w:t>%</w:t>
      </w:r>
      <w:r>
        <w:rPr>
          <w:spacing w:val="-4"/>
          <w:szCs w:val="28"/>
        </w:rPr>
        <w:t xml:space="preserve"> (Рис. 8)</w:t>
      </w:r>
      <w:r w:rsidRPr="00B36AC9">
        <w:rPr>
          <w:spacing w:val="-4"/>
          <w:szCs w:val="28"/>
        </w:rPr>
        <w:t>.</w:t>
      </w:r>
    </w:p>
    <w:p w:rsidR="00BD3F37" w:rsidRPr="00B171E3" w:rsidRDefault="00BD3F37" w:rsidP="00B171E3">
      <w:pPr>
        <w:spacing w:line="240" w:lineRule="auto"/>
        <w:ind w:firstLine="0"/>
        <w:jc w:val="center"/>
        <w:rPr>
          <w:sz w:val="24"/>
          <w:szCs w:val="28"/>
        </w:rPr>
      </w:pPr>
    </w:p>
    <w:p w:rsidR="00AE3C3F" w:rsidRPr="00AC1BF0" w:rsidRDefault="000259BE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AC1BF0">
        <w:rPr>
          <w:noProof/>
          <w:sz w:val="18"/>
          <w:szCs w:val="28"/>
          <w:lang w:eastAsia="ru-RU"/>
        </w:rPr>
        <w:lastRenderedPageBreak/>
        <w:drawing>
          <wp:inline distT="0" distB="0" distL="0" distR="0" wp14:anchorId="38C3E71A" wp14:editId="4E85A93C">
            <wp:extent cx="5400000" cy="2520000"/>
            <wp:effectExtent l="0" t="0" r="0" b="0"/>
            <wp:docPr id="49" name="Диаграмма 4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B171E3" w:rsidRDefault="000259BE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 xml:space="preserve">Рис. 8. Динамика химического и нефтехимического производства РФ и </w:t>
      </w:r>
    </w:p>
    <w:p w:rsidR="00AE3C3F" w:rsidRDefault="000259BE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>Вологодской области</w:t>
      </w:r>
    </w:p>
    <w:p w:rsidR="00BD3F37" w:rsidRDefault="00BD3F37" w:rsidP="00B171E3">
      <w:pPr>
        <w:spacing w:line="240" w:lineRule="auto"/>
        <w:ind w:firstLine="0"/>
        <w:jc w:val="center"/>
        <w:rPr>
          <w:sz w:val="24"/>
          <w:szCs w:val="28"/>
        </w:rPr>
      </w:pPr>
    </w:p>
    <w:p w:rsidR="00BD3F37" w:rsidRPr="00BD3F37" w:rsidRDefault="00BD3F37" w:rsidP="00BD3F37">
      <w:pPr>
        <w:spacing w:line="240" w:lineRule="auto"/>
        <w:ind w:firstLine="709"/>
        <w:rPr>
          <w:spacing w:val="-6"/>
          <w:szCs w:val="28"/>
        </w:rPr>
      </w:pPr>
      <w:r w:rsidRPr="00B36AC9">
        <w:rPr>
          <w:spacing w:val="-6"/>
          <w:szCs w:val="28"/>
        </w:rPr>
        <w:t>Производство мета</w:t>
      </w:r>
      <w:r>
        <w:rPr>
          <w:spacing w:val="-6"/>
          <w:szCs w:val="28"/>
        </w:rPr>
        <w:t xml:space="preserve">ллопродукции в РФ выросло на полтора </w:t>
      </w:r>
      <w:r w:rsidRPr="00B36AC9">
        <w:rPr>
          <w:spacing w:val="-6"/>
          <w:szCs w:val="28"/>
        </w:rPr>
        <w:t xml:space="preserve">%, в области – на </w:t>
      </w:r>
      <w:r>
        <w:rPr>
          <w:spacing w:val="-6"/>
          <w:szCs w:val="28"/>
        </w:rPr>
        <w:t>4% (Рис. 9)</w:t>
      </w:r>
      <w:r w:rsidRPr="00B36AC9">
        <w:rPr>
          <w:spacing w:val="-6"/>
          <w:szCs w:val="28"/>
        </w:rPr>
        <w:t>.</w:t>
      </w:r>
    </w:p>
    <w:p w:rsidR="00BD3F37" w:rsidRPr="00B171E3" w:rsidRDefault="00BD3F37" w:rsidP="00B171E3">
      <w:pPr>
        <w:spacing w:line="240" w:lineRule="auto"/>
        <w:ind w:firstLine="0"/>
        <w:jc w:val="center"/>
        <w:rPr>
          <w:sz w:val="24"/>
          <w:szCs w:val="28"/>
        </w:rPr>
      </w:pPr>
    </w:p>
    <w:p w:rsidR="00AE3C3F" w:rsidRPr="00AC1BF0" w:rsidRDefault="000259BE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AC1BF0">
        <w:rPr>
          <w:noProof/>
          <w:sz w:val="18"/>
          <w:szCs w:val="28"/>
          <w:lang w:eastAsia="ru-RU"/>
        </w:rPr>
        <w:drawing>
          <wp:inline distT="0" distB="0" distL="0" distR="0" wp14:anchorId="6BCECBFF" wp14:editId="7774F7C9">
            <wp:extent cx="5400000" cy="2520000"/>
            <wp:effectExtent l="0" t="0" r="0" b="0"/>
            <wp:docPr id="50" name="Диаграмма 5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AE3C3F" w:rsidRPr="00B171E3" w:rsidRDefault="000259BE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>Рис. 9. Динамика металлургии РФ и Вологодской области</w:t>
      </w:r>
    </w:p>
    <w:p w:rsidR="00AE3C3F" w:rsidRPr="000259BE" w:rsidRDefault="00AE3C3F" w:rsidP="008E2D17">
      <w:pPr>
        <w:spacing w:line="240" w:lineRule="auto"/>
        <w:ind w:firstLine="709"/>
        <w:rPr>
          <w:spacing w:val="-6"/>
          <w:szCs w:val="28"/>
        </w:rPr>
      </w:pPr>
    </w:p>
    <w:p w:rsidR="00545A9B" w:rsidRPr="00B202FB" w:rsidRDefault="00545A9B" w:rsidP="008E2D17">
      <w:pPr>
        <w:spacing w:line="240" w:lineRule="auto"/>
        <w:ind w:firstLine="709"/>
        <w:rPr>
          <w:spacing w:val="-4"/>
          <w:szCs w:val="28"/>
        </w:rPr>
      </w:pPr>
      <w:r w:rsidRPr="00B36AC9">
        <w:rPr>
          <w:spacing w:val="-4"/>
          <w:szCs w:val="28"/>
        </w:rPr>
        <w:t xml:space="preserve">Сложной остается ситуация в </w:t>
      </w:r>
      <w:r w:rsidRPr="00B202FB">
        <w:rPr>
          <w:i/>
          <w:spacing w:val="-4"/>
          <w:szCs w:val="28"/>
        </w:rPr>
        <w:t>секторе промышленности инвестиционн</w:t>
      </w:r>
      <w:r w:rsidRPr="00B202FB">
        <w:rPr>
          <w:i/>
          <w:spacing w:val="-4"/>
          <w:szCs w:val="28"/>
        </w:rPr>
        <w:t>о</w:t>
      </w:r>
      <w:r w:rsidRPr="00B202FB">
        <w:rPr>
          <w:i/>
          <w:spacing w:val="-4"/>
          <w:szCs w:val="28"/>
        </w:rPr>
        <w:t>го спроса</w:t>
      </w:r>
      <w:r w:rsidRPr="00B202FB">
        <w:rPr>
          <w:spacing w:val="-4"/>
          <w:szCs w:val="28"/>
        </w:rPr>
        <w:t>.</w:t>
      </w:r>
    </w:p>
    <w:p w:rsidR="00545A9B" w:rsidRPr="00B36AC9" w:rsidRDefault="00545A9B" w:rsidP="008E2D17">
      <w:pPr>
        <w:spacing w:line="240" w:lineRule="auto"/>
        <w:ind w:firstLine="709"/>
        <w:rPr>
          <w:spacing w:val="-4"/>
          <w:szCs w:val="28"/>
        </w:rPr>
      </w:pPr>
      <w:r w:rsidRPr="00B202FB">
        <w:rPr>
          <w:spacing w:val="-4"/>
          <w:szCs w:val="28"/>
        </w:rPr>
        <w:t>Машиностроительное производство в целом по стране за год</w:t>
      </w:r>
      <w:r w:rsidR="00200A46">
        <w:rPr>
          <w:spacing w:val="-4"/>
          <w:szCs w:val="28"/>
        </w:rPr>
        <w:t xml:space="preserve"> увеличило объемы отгрузки на два с половиной </w:t>
      </w:r>
      <w:r w:rsidR="00B757C0">
        <w:rPr>
          <w:spacing w:val="-4"/>
          <w:szCs w:val="28"/>
        </w:rPr>
        <w:t>процента</w:t>
      </w:r>
      <w:r w:rsidRPr="00B202FB">
        <w:rPr>
          <w:spacing w:val="-4"/>
          <w:szCs w:val="28"/>
        </w:rPr>
        <w:t>, в Вологодской</w:t>
      </w:r>
      <w:r w:rsidR="00200A46">
        <w:rPr>
          <w:spacing w:val="-4"/>
          <w:szCs w:val="28"/>
        </w:rPr>
        <w:t xml:space="preserve"> области – на 2</w:t>
      </w:r>
      <w:r w:rsidRPr="00B36AC9">
        <w:rPr>
          <w:spacing w:val="-4"/>
          <w:szCs w:val="28"/>
        </w:rPr>
        <w:t>%</w:t>
      </w:r>
      <w:r w:rsidR="00CE13E6">
        <w:rPr>
          <w:spacing w:val="-4"/>
          <w:szCs w:val="28"/>
        </w:rPr>
        <w:t xml:space="preserve"> (Рис. 10)</w:t>
      </w:r>
      <w:r w:rsidRPr="00B36AC9">
        <w:rPr>
          <w:spacing w:val="-4"/>
          <w:szCs w:val="28"/>
        </w:rPr>
        <w:t>. Положительные темпы роста были обеспечены главным образом а</w:t>
      </w:r>
      <w:r w:rsidRPr="00B36AC9">
        <w:rPr>
          <w:spacing w:val="-4"/>
          <w:szCs w:val="28"/>
        </w:rPr>
        <w:t>в</w:t>
      </w:r>
      <w:r w:rsidRPr="00B36AC9">
        <w:rPr>
          <w:spacing w:val="-4"/>
          <w:szCs w:val="28"/>
        </w:rPr>
        <w:t>томобилестроением и транспортным машиностроением. Однако по сравнению с 2008 г. машиностроение имеет негативную динамику. В целом по стране оно выросло лишь</w:t>
      </w:r>
      <w:r w:rsidR="00322EE8">
        <w:rPr>
          <w:spacing w:val="-4"/>
          <w:szCs w:val="28"/>
        </w:rPr>
        <w:t xml:space="preserve"> на</w:t>
      </w:r>
      <w:r w:rsidRPr="00B36AC9">
        <w:rPr>
          <w:spacing w:val="-4"/>
          <w:szCs w:val="28"/>
        </w:rPr>
        <w:t xml:space="preserve"> 0,6%, а в Вологодской области сократилось на </w:t>
      </w:r>
      <w:r w:rsidR="00200A46">
        <w:rPr>
          <w:spacing w:val="-4"/>
          <w:szCs w:val="28"/>
        </w:rPr>
        <w:t>9</w:t>
      </w:r>
      <w:r w:rsidRPr="00B36AC9">
        <w:rPr>
          <w:spacing w:val="-4"/>
          <w:szCs w:val="28"/>
        </w:rPr>
        <w:t>%.</w:t>
      </w:r>
    </w:p>
    <w:p w:rsidR="00545A9B" w:rsidRPr="00B36AC9" w:rsidRDefault="00545A9B" w:rsidP="008E2D17">
      <w:pPr>
        <w:spacing w:line="240" w:lineRule="auto"/>
        <w:ind w:firstLine="709"/>
        <w:rPr>
          <w:spacing w:val="-4"/>
          <w:szCs w:val="28"/>
        </w:rPr>
      </w:pPr>
    </w:p>
    <w:p w:rsidR="00545A9B" w:rsidRPr="00AC1BF0" w:rsidRDefault="00001273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AC1BF0">
        <w:rPr>
          <w:noProof/>
          <w:sz w:val="18"/>
          <w:szCs w:val="28"/>
          <w:lang w:eastAsia="ru-RU"/>
        </w:rPr>
        <w:lastRenderedPageBreak/>
        <w:drawing>
          <wp:inline distT="0" distB="0" distL="0" distR="0" wp14:anchorId="22031DEA" wp14:editId="6C9F642F">
            <wp:extent cx="5400000" cy="2520000"/>
            <wp:effectExtent l="0" t="0" r="0" b="0"/>
            <wp:docPr id="51" name="Диаграмма 5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001273" w:rsidRPr="00B171E3" w:rsidRDefault="00001273" w:rsidP="00B171E3">
      <w:pPr>
        <w:spacing w:line="240" w:lineRule="auto"/>
        <w:ind w:firstLine="0"/>
        <w:jc w:val="center"/>
        <w:rPr>
          <w:sz w:val="24"/>
          <w:szCs w:val="28"/>
        </w:rPr>
      </w:pPr>
      <w:r w:rsidRPr="00B171E3">
        <w:rPr>
          <w:sz w:val="24"/>
          <w:szCs w:val="28"/>
        </w:rPr>
        <w:t xml:space="preserve">Рис. 10. Динамика машиностроения РФ и Вологодской области </w:t>
      </w:r>
    </w:p>
    <w:p w:rsidR="00001273" w:rsidRDefault="00001273" w:rsidP="008E2D17">
      <w:pPr>
        <w:spacing w:line="240" w:lineRule="auto"/>
        <w:ind w:firstLine="709"/>
        <w:jc w:val="center"/>
        <w:rPr>
          <w:b/>
          <w:szCs w:val="28"/>
        </w:rPr>
      </w:pPr>
    </w:p>
    <w:p w:rsidR="00995029" w:rsidRPr="00B36AC9" w:rsidRDefault="00995029" w:rsidP="00995029">
      <w:pPr>
        <w:spacing w:line="240" w:lineRule="auto"/>
        <w:ind w:firstLine="709"/>
        <w:rPr>
          <w:spacing w:val="-4"/>
          <w:szCs w:val="28"/>
        </w:rPr>
      </w:pPr>
      <w:r w:rsidRPr="00B36AC9">
        <w:rPr>
          <w:spacing w:val="-4"/>
          <w:szCs w:val="28"/>
        </w:rPr>
        <w:t>Еще более сложное положение в секторе производства стройматериалов</w:t>
      </w:r>
      <w:r>
        <w:rPr>
          <w:spacing w:val="-4"/>
          <w:szCs w:val="28"/>
        </w:rPr>
        <w:t xml:space="preserve"> (Рис. 11)</w:t>
      </w:r>
      <w:r w:rsidRPr="00B36AC9">
        <w:rPr>
          <w:spacing w:val="-4"/>
          <w:szCs w:val="28"/>
        </w:rPr>
        <w:t xml:space="preserve">. </w:t>
      </w:r>
      <w:proofErr w:type="gramStart"/>
      <w:r w:rsidRPr="00B36AC9">
        <w:rPr>
          <w:spacing w:val="-4"/>
          <w:szCs w:val="28"/>
        </w:rPr>
        <w:t>За последние 10 лет в РФ оно сократилось на 9%, в Вологодской о</w:t>
      </w:r>
      <w:r w:rsidRPr="00B36AC9">
        <w:rPr>
          <w:spacing w:val="-4"/>
          <w:szCs w:val="28"/>
        </w:rPr>
        <w:t>б</w:t>
      </w:r>
      <w:r w:rsidRPr="00B36AC9">
        <w:rPr>
          <w:spacing w:val="-4"/>
          <w:szCs w:val="28"/>
        </w:rPr>
        <w:t xml:space="preserve">ласти – более чем в 2 раза. </w:t>
      </w:r>
      <w:proofErr w:type="gramEnd"/>
    </w:p>
    <w:p w:rsidR="00995029" w:rsidRPr="00001273" w:rsidRDefault="00995029" w:rsidP="008E2D17">
      <w:pPr>
        <w:spacing w:line="240" w:lineRule="auto"/>
        <w:ind w:firstLine="709"/>
        <w:jc w:val="center"/>
        <w:rPr>
          <w:b/>
          <w:szCs w:val="28"/>
        </w:rPr>
      </w:pPr>
    </w:p>
    <w:p w:rsidR="00001273" w:rsidRPr="00AC1BF0" w:rsidRDefault="00001273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AC1BF0">
        <w:rPr>
          <w:noProof/>
          <w:sz w:val="18"/>
          <w:szCs w:val="28"/>
          <w:lang w:eastAsia="ru-RU"/>
        </w:rPr>
        <w:drawing>
          <wp:inline distT="0" distB="0" distL="0" distR="0" wp14:anchorId="3AB4C7A1" wp14:editId="445B41BB">
            <wp:extent cx="5400000" cy="2520000"/>
            <wp:effectExtent l="0" t="0" r="0" b="0"/>
            <wp:docPr id="52" name="Диаграмма 5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001273" w:rsidRPr="00B171E3" w:rsidRDefault="00001273" w:rsidP="00B171E3">
      <w:pPr>
        <w:spacing w:line="240" w:lineRule="auto"/>
        <w:ind w:firstLine="0"/>
        <w:jc w:val="center"/>
        <w:rPr>
          <w:sz w:val="24"/>
          <w:szCs w:val="28"/>
        </w:rPr>
        <w:sectPr w:rsidR="00001273" w:rsidRPr="00B171E3" w:rsidSect="007832A3">
          <w:type w:val="continuous"/>
          <w:pgSz w:w="11906" w:h="16838"/>
          <w:pgMar w:top="1134" w:right="850" w:bottom="1134" w:left="1701" w:header="709" w:footer="709" w:gutter="0"/>
          <w:cols w:space="340"/>
          <w:docGrid w:linePitch="381"/>
        </w:sectPr>
      </w:pPr>
      <w:r w:rsidRPr="00B171E3">
        <w:rPr>
          <w:sz w:val="24"/>
          <w:szCs w:val="28"/>
        </w:rPr>
        <w:t>Рис. 11. Динамика производства стройматериалов и стекла РФ и Вологодской области</w:t>
      </w:r>
    </w:p>
    <w:p w:rsidR="00545A9B" w:rsidRPr="00B36AC9" w:rsidRDefault="00545A9B" w:rsidP="008E2D17">
      <w:pPr>
        <w:spacing w:line="240" w:lineRule="auto"/>
        <w:ind w:firstLine="709"/>
        <w:rPr>
          <w:color w:val="FF0000"/>
          <w:szCs w:val="28"/>
        </w:rPr>
      </w:pPr>
    </w:p>
    <w:p w:rsidR="00545A9B" w:rsidRPr="00B36AC9" w:rsidRDefault="00545A9B" w:rsidP="008E2D17">
      <w:pPr>
        <w:spacing w:line="240" w:lineRule="auto"/>
        <w:ind w:firstLine="709"/>
        <w:rPr>
          <w:color w:val="FF0000"/>
          <w:szCs w:val="28"/>
        </w:rPr>
        <w:sectPr w:rsidR="00545A9B" w:rsidRPr="00B36AC9" w:rsidSect="00AB2B20">
          <w:type w:val="continuous"/>
          <w:pgSz w:w="11906" w:h="16838"/>
          <w:pgMar w:top="1134" w:right="850" w:bottom="1134" w:left="1701" w:header="709" w:footer="709" w:gutter="0"/>
          <w:cols w:space="708"/>
          <w:docGrid w:linePitch="381"/>
        </w:sectPr>
      </w:pPr>
    </w:p>
    <w:p w:rsidR="00995029" w:rsidRPr="00B36AC9" w:rsidRDefault="00995029" w:rsidP="00995029">
      <w:pPr>
        <w:spacing w:line="240" w:lineRule="auto"/>
        <w:ind w:firstLine="709"/>
        <w:rPr>
          <w:spacing w:val="-4"/>
          <w:szCs w:val="28"/>
        </w:rPr>
      </w:pPr>
      <w:r w:rsidRPr="00B36AC9">
        <w:rPr>
          <w:spacing w:val="-4"/>
          <w:szCs w:val="28"/>
        </w:rPr>
        <w:lastRenderedPageBreak/>
        <w:t>За 2018 г. производство стройматериалов и стекла в регионе снизилось на 6%.</w:t>
      </w:r>
    </w:p>
    <w:p w:rsidR="007832A3" w:rsidRDefault="007832A3" w:rsidP="008E2D17">
      <w:pPr>
        <w:spacing w:line="240" w:lineRule="auto"/>
        <w:ind w:firstLine="709"/>
        <w:rPr>
          <w:color w:val="FF0000"/>
          <w:spacing w:val="-4"/>
          <w:szCs w:val="28"/>
        </w:rPr>
      </w:pPr>
    </w:p>
    <w:p w:rsidR="00B33C79" w:rsidRPr="00B33C79" w:rsidRDefault="00B33C79" w:rsidP="008E2D17">
      <w:pPr>
        <w:spacing w:line="240" w:lineRule="auto"/>
        <w:ind w:firstLine="709"/>
        <w:rPr>
          <w:spacing w:val="-4"/>
          <w:szCs w:val="28"/>
        </w:rPr>
      </w:pPr>
      <w:r w:rsidRPr="00B33C79">
        <w:rPr>
          <w:spacing w:val="-4"/>
          <w:szCs w:val="28"/>
        </w:rPr>
        <w:t>Другой важной производственной отраслью является сельское хозяйство</w:t>
      </w:r>
      <w:r w:rsidR="00CE13E6">
        <w:rPr>
          <w:spacing w:val="-4"/>
          <w:szCs w:val="28"/>
        </w:rPr>
        <w:t xml:space="preserve"> (Рис. 12)</w:t>
      </w:r>
      <w:r w:rsidRPr="00B33C79">
        <w:rPr>
          <w:spacing w:val="-4"/>
          <w:szCs w:val="28"/>
        </w:rPr>
        <w:t>.</w:t>
      </w:r>
    </w:p>
    <w:p w:rsidR="00545A9B" w:rsidRPr="00AC1BF0" w:rsidRDefault="00545A9B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B36AC9">
        <w:rPr>
          <w:b/>
          <w:szCs w:val="28"/>
        </w:rPr>
        <w:lastRenderedPageBreak/>
        <w:br/>
      </w:r>
      <w:r w:rsidRPr="00AC1BF0">
        <w:rPr>
          <w:noProof/>
          <w:sz w:val="18"/>
          <w:szCs w:val="28"/>
          <w:lang w:eastAsia="ru-RU"/>
        </w:rPr>
        <w:drawing>
          <wp:inline distT="0" distB="0" distL="0" distR="0" wp14:anchorId="1E173270" wp14:editId="7AF6B226">
            <wp:extent cx="5400000" cy="2520000"/>
            <wp:effectExtent l="0" t="0" r="0" b="0"/>
            <wp:docPr id="33" name="Диаграмма 3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545A9B" w:rsidRPr="00BD3F37" w:rsidRDefault="00001273" w:rsidP="00BD3F37">
      <w:pPr>
        <w:spacing w:line="240" w:lineRule="auto"/>
        <w:ind w:firstLine="0"/>
        <w:jc w:val="center"/>
        <w:rPr>
          <w:sz w:val="24"/>
          <w:szCs w:val="28"/>
        </w:rPr>
      </w:pPr>
      <w:r w:rsidRPr="00BD3F37">
        <w:rPr>
          <w:sz w:val="24"/>
          <w:szCs w:val="28"/>
        </w:rPr>
        <w:t>Рис. 12. Динамика сельскохозяйственного производства РФ и Вологодской области</w:t>
      </w:r>
    </w:p>
    <w:p w:rsidR="00545A9B" w:rsidRPr="00B36AC9" w:rsidRDefault="00545A9B" w:rsidP="008E2D17">
      <w:pPr>
        <w:spacing w:line="240" w:lineRule="auto"/>
        <w:ind w:firstLine="709"/>
        <w:rPr>
          <w:spacing w:val="-4"/>
          <w:szCs w:val="28"/>
        </w:rPr>
      </w:pPr>
    </w:p>
    <w:p w:rsidR="00995029" w:rsidRPr="00B36AC9" w:rsidRDefault="00995029" w:rsidP="00995029">
      <w:pPr>
        <w:spacing w:line="240" w:lineRule="auto"/>
        <w:ind w:firstLine="709"/>
        <w:rPr>
          <w:noProof/>
          <w:spacing w:val="-4"/>
          <w:szCs w:val="28"/>
          <w:lang w:eastAsia="ru-RU"/>
        </w:rPr>
      </w:pPr>
      <w:r w:rsidRPr="00B202FB">
        <w:rPr>
          <w:spacing w:val="-4"/>
          <w:szCs w:val="28"/>
        </w:rPr>
        <w:t>Сельскохозяйственное производство</w:t>
      </w:r>
      <w:r w:rsidRPr="00B36AC9">
        <w:rPr>
          <w:spacing w:val="-4"/>
          <w:szCs w:val="28"/>
        </w:rPr>
        <w:t xml:space="preserve"> страны в 2018 г. сократилось на 0,6%.</w:t>
      </w:r>
      <w:r>
        <w:rPr>
          <w:spacing w:val="-4"/>
          <w:szCs w:val="28"/>
        </w:rPr>
        <w:t xml:space="preserve"> В Вологодской области рост составил 6%.</w:t>
      </w:r>
    </w:p>
    <w:p w:rsidR="00545A9B" w:rsidRPr="00B36AC9" w:rsidRDefault="00545A9B" w:rsidP="008E2D17">
      <w:pPr>
        <w:spacing w:line="240" w:lineRule="auto"/>
        <w:ind w:firstLine="709"/>
        <w:rPr>
          <w:spacing w:val="-4"/>
          <w:szCs w:val="28"/>
        </w:rPr>
      </w:pPr>
    </w:p>
    <w:p w:rsidR="00545A9B" w:rsidRDefault="00FD10B1" w:rsidP="008E2D17">
      <w:pPr>
        <w:spacing w:line="240" w:lineRule="auto"/>
        <w:ind w:firstLine="709"/>
        <w:rPr>
          <w:b/>
          <w:noProof/>
          <w:szCs w:val="28"/>
          <w:lang w:eastAsia="ru-RU"/>
        </w:rPr>
      </w:pPr>
      <w:r>
        <w:rPr>
          <w:b/>
          <w:noProof/>
          <w:szCs w:val="28"/>
          <w:lang w:eastAsia="ru-RU"/>
        </w:rPr>
        <w:t>Вторая стадия –</w:t>
      </w:r>
      <w:r w:rsidR="00545A9B" w:rsidRPr="00B202FB">
        <w:rPr>
          <w:b/>
          <w:noProof/>
          <w:szCs w:val="28"/>
          <w:lang w:eastAsia="ru-RU"/>
        </w:rPr>
        <w:t> Образование доходов</w:t>
      </w:r>
    </w:p>
    <w:p w:rsidR="001C2845" w:rsidRPr="001C2845" w:rsidRDefault="001C2845" w:rsidP="008E2D17">
      <w:pPr>
        <w:spacing w:line="240" w:lineRule="auto"/>
        <w:ind w:firstLine="709"/>
        <w:rPr>
          <w:spacing w:val="-6"/>
          <w:szCs w:val="28"/>
        </w:rPr>
      </w:pPr>
      <w:r w:rsidRPr="001C2845">
        <w:rPr>
          <w:spacing w:val="-6"/>
          <w:szCs w:val="28"/>
        </w:rPr>
        <w:t>Между ростом реальных доходов населения и уровнем его благосостояния им</w:t>
      </w:r>
      <w:r w:rsidRPr="001C2845">
        <w:rPr>
          <w:spacing w:val="-6"/>
          <w:szCs w:val="28"/>
        </w:rPr>
        <w:t>е</w:t>
      </w:r>
      <w:r w:rsidRPr="001C2845">
        <w:rPr>
          <w:spacing w:val="-6"/>
          <w:szCs w:val="28"/>
        </w:rPr>
        <w:t>ется прямая зависимость. Чем быстрее растут РД, тем быстрее увеличивается бога</w:t>
      </w:r>
      <w:r w:rsidRPr="001C2845">
        <w:rPr>
          <w:spacing w:val="-6"/>
          <w:szCs w:val="28"/>
        </w:rPr>
        <w:t>т</w:t>
      </w:r>
      <w:r w:rsidRPr="001C2845">
        <w:rPr>
          <w:spacing w:val="-6"/>
          <w:szCs w:val="28"/>
        </w:rPr>
        <w:t>ство граждан и количество благ, которые они могут приобрести.</w:t>
      </w:r>
    </w:p>
    <w:p w:rsidR="00545A9B" w:rsidRPr="00B202FB" w:rsidRDefault="00545A9B" w:rsidP="008E2D17">
      <w:pPr>
        <w:spacing w:line="240" w:lineRule="auto"/>
        <w:ind w:firstLine="709"/>
        <w:rPr>
          <w:spacing w:val="-4"/>
          <w:szCs w:val="28"/>
        </w:rPr>
      </w:pPr>
      <w:r w:rsidRPr="00B202FB">
        <w:rPr>
          <w:i/>
          <w:spacing w:val="-4"/>
          <w:szCs w:val="28"/>
        </w:rPr>
        <w:t xml:space="preserve">Реальные денежные доходы </w:t>
      </w:r>
      <w:r w:rsidRPr="00B202FB">
        <w:rPr>
          <w:spacing w:val="-4"/>
          <w:szCs w:val="28"/>
        </w:rPr>
        <w:t xml:space="preserve">россиян в 2018 г. выросли на </w:t>
      </w:r>
      <w:r w:rsidR="00B757C0">
        <w:rPr>
          <w:spacing w:val="-4"/>
          <w:szCs w:val="28"/>
        </w:rPr>
        <w:t>девять десятых пр</w:t>
      </w:r>
      <w:r w:rsidR="00B757C0">
        <w:rPr>
          <w:spacing w:val="-4"/>
          <w:szCs w:val="28"/>
        </w:rPr>
        <w:t>о</w:t>
      </w:r>
      <w:r w:rsidR="00B757C0">
        <w:rPr>
          <w:spacing w:val="-4"/>
          <w:szCs w:val="28"/>
        </w:rPr>
        <w:t>цента</w:t>
      </w:r>
      <w:r w:rsidR="00AF205B">
        <w:rPr>
          <w:spacing w:val="-4"/>
          <w:szCs w:val="28"/>
        </w:rPr>
        <w:t xml:space="preserve"> (Рис. 13)</w:t>
      </w:r>
      <w:r w:rsidRPr="00B202FB">
        <w:rPr>
          <w:spacing w:val="-4"/>
          <w:szCs w:val="28"/>
        </w:rPr>
        <w:t>.</w:t>
      </w:r>
    </w:p>
    <w:p w:rsidR="00995029" w:rsidRPr="00381783" w:rsidRDefault="00995029" w:rsidP="008E2D17">
      <w:pPr>
        <w:spacing w:line="240" w:lineRule="auto"/>
        <w:ind w:firstLine="709"/>
        <w:rPr>
          <w:spacing w:val="-6"/>
          <w:szCs w:val="28"/>
        </w:rPr>
      </w:pPr>
    </w:p>
    <w:p w:rsidR="006856D8" w:rsidRPr="00AC1BF0" w:rsidRDefault="006856D8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AC1BF0">
        <w:rPr>
          <w:noProof/>
          <w:sz w:val="18"/>
          <w:szCs w:val="28"/>
          <w:lang w:eastAsia="ru-RU"/>
        </w:rPr>
        <w:drawing>
          <wp:inline distT="0" distB="0" distL="0" distR="0" wp14:anchorId="2F537807" wp14:editId="303072FF">
            <wp:extent cx="5400000" cy="2520000"/>
            <wp:effectExtent l="0" t="0" r="0" b="0"/>
            <wp:docPr id="36" name="Диаграмма 3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6856D8" w:rsidRDefault="006856D8" w:rsidP="00BD3F37">
      <w:pPr>
        <w:spacing w:line="240" w:lineRule="auto"/>
        <w:ind w:firstLine="0"/>
        <w:jc w:val="center"/>
        <w:rPr>
          <w:sz w:val="24"/>
          <w:szCs w:val="28"/>
        </w:rPr>
      </w:pPr>
      <w:r w:rsidRPr="00BD3F37">
        <w:rPr>
          <w:sz w:val="24"/>
          <w:szCs w:val="28"/>
        </w:rPr>
        <w:t>Рис. 13. Динамика реальных доходов населения</w:t>
      </w:r>
    </w:p>
    <w:p w:rsidR="00995029" w:rsidRDefault="00995029" w:rsidP="00BD3F37">
      <w:pPr>
        <w:spacing w:line="240" w:lineRule="auto"/>
        <w:ind w:firstLine="0"/>
        <w:jc w:val="center"/>
        <w:rPr>
          <w:sz w:val="24"/>
          <w:szCs w:val="28"/>
        </w:rPr>
      </w:pPr>
    </w:p>
    <w:p w:rsidR="00995029" w:rsidRPr="00B36AC9" w:rsidRDefault="00995029" w:rsidP="00995029">
      <w:pPr>
        <w:spacing w:line="240" w:lineRule="auto"/>
        <w:ind w:firstLine="709"/>
        <w:rPr>
          <w:spacing w:val="-6"/>
          <w:szCs w:val="28"/>
        </w:rPr>
      </w:pPr>
      <w:r w:rsidRPr="00B202FB">
        <w:rPr>
          <w:spacing w:val="-6"/>
          <w:szCs w:val="28"/>
        </w:rPr>
        <w:t>В Вологодской области</w:t>
      </w:r>
      <w:r>
        <w:rPr>
          <w:spacing w:val="-6"/>
          <w:szCs w:val="28"/>
        </w:rPr>
        <w:t xml:space="preserve"> же картина обратная –</w:t>
      </w:r>
      <w:r w:rsidRPr="00B36AC9">
        <w:rPr>
          <w:spacing w:val="-6"/>
          <w:szCs w:val="28"/>
        </w:rPr>
        <w:t xml:space="preserve"> реальные денежные доходы населения снизились на </w:t>
      </w:r>
      <w:r>
        <w:rPr>
          <w:spacing w:val="-6"/>
          <w:szCs w:val="28"/>
        </w:rPr>
        <w:t>3</w:t>
      </w:r>
      <w:r w:rsidRPr="00B36AC9">
        <w:rPr>
          <w:spacing w:val="-6"/>
          <w:szCs w:val="28"/>
        </w:rPr>
        <w:t>%.</w:t>
      </w:r>
    </w:p>
    <w:p w:rsidR="00995029" w:rsidRDefault="00995029" w:rsidP="00995029">
      <w:pPr>
        <w:spacing w:line="240" w:lineRule="auto"/>
        <w:ind w:firstLine="709"/>
        <w:rPr>
          <w:spacing w:val="-4"/>
          <w:szCs w:val="28"/>
        </w:rPr>
      </w:pPr>
      <w:r w:rsidRPr="00B36AC9">
        <w:rPr>
          <w:spacing w:val="-4"/>
          <w:szCs w:val="28"/>
        </w:rPr>
        <w:t xml:space="preserve">Положительным фактором стал рост в 2018 г. среднего уровня зарплаты по </w:t>
      </w:r>
      <w:r>
        <w:rPr>
          <w:spacing w:val="-4"/>
          <w:szCs w:val="28"/>
        </w:rPr>
        <w:t>7</w:t>
      </w:r>
      <w:r w:rsidRPr="00B36AC9">
        <w:rPr>
          <w:spacing w:val="-4"/>
          <w:szCs w:val="28"/>
        </w:rPr>
        <w:t xml:space="preserve">%, </w:t>
      </w:r>
      <w:r>
        <w:rPr>
          <w:spacing w:val="-4"/>
          <w:szCs w:val="28"/>
        </w:rPr>
        <w:t>как в стране, так и в регионе.</w:t>
      </w:r>
    </w:p>
    <w:p w:rsidR="00995029" w:rsidRDefault="00995029" w:rsidP="00995029">
      <w:pPr>
        <w:spacing w:line="240" w:lineRule="auto"/>
        <w:ind w:firstLine="709"/>
        <w:rPr>
          <w:spacing w:val="-6"/>
          <w:szCs w:val="28"/>
        </w:rPr>
      </w:pPr>
      <w:r w:rsidRPr="00B36AC9">
        <w:rPr>
          <w:spacing w:val="-6"/>
          <w:szCs w:val="28"/>
        </w:rPr>
        <w:t>По темпам роста реальных доходов населения в 2009–2018 гг. область</w:t>
      </w:r>
      <w:r>
        <w:rPr>
          <w:spacing w:val="-6"/>
          <w:szCs w:val="28"/>
        </w:rPr>
        <w:t xml:space="preserve"> находи</w:t>
      </w:r>
      <w:r>
        <w:rPr>
          <w:spacing w:val="-6"/>
          <w:szCs w:val="28"/>
        </w:rPr>
        <w:t>т</w:t>
      </w:r>
      <w:r>
        <w:rPr>
          <w:spacing w:val="-6"/>
          <w:szCs w:val="28"/>
        </w:rPr>
        <w:t>ся на 46 месте в стране</w:t>
      </w:r>
      <w:r w:rsidRPr="00B36AC9">
        <w:rPr>
          <w:spacing w:val="-6"/>
          <w:szCs w:val="28"/>
        </w:rPr>
        <w:t>.</w:t>
      </w:r>
    </w:p>
    <w:p w:rsidR="00995029" w:rsidRPr="00B36AC9" w:rsidRDefault="00995029" w:rsidP="00995029">
      <w:pPr>
        <w:spacing w:line="240" w:lineRule="auto"/>
        <w:ind w:firstLine="709"/>
        <w:rPr>
          <w:noProof/>
          <w:spacing w:val="-6"/>
          <w:szCs w:val="28"/>
          <w:lang w:eastAsia="ru-RU"/>
        </w:rPr>
      </w:pPr>
      <w:r w:rsidRPr="00B36AC9">
        <w:rPr>
          <w:noProof/>
          <w:spacing w:val="-6"/>
          <w:szCs w:val="28"/>
          <w:lang w:eastAsia="ru-RU"/>
        </w:rPr>
        <w:lastRenderedPageBreak/>
        <w:t>Положительные тенденции наблюдаются в сфере образования доходов государства и бизнеса.</w:t>
      </w:r>
    </w:p>
    <w:p w:rsidR="00995029" w:rsidRPr="00B36AC9" w:rsidRDefault="00995029" w:rsidP="00995029">
      <w:pPr>
        <w:spacing w:line="240" w:lineRule="auto"/>
        <w:ind w:firstLine="709"/>
        <w:rPr>
          <w:spacing w:val="-4"/>
          <w:szCs w:val="28"/>
        </w:rPr>
      </w:pPr>
      <w:r w:rsidRPr="00B36AC9">
        <w:rPr>
          <w:noProof/>
          <w:spacing w:val="-6"/>
          <w:szCs w:val="28"/>
          <w:lang w:eastAsia="ru-RU"/>
        </w:rPr>
        <w:t xml:space="preserve">Реальные </w:t>
      </w:r>
      <w:r w:rsidRPr="00B36AC9">
        <w:rPr>
          <w:i/>
          <w:noProof/>
          <w:spacing w:val="-6"/>
          <w:szCs w:val="28"/>
          <w:lang w:eastAsia="ru-RU"/>
        </w:rPr>
        <w:t>доходы</w:t>
      </w:r>
      <w:r w:rsidRPr="00B36AC9">
        <w:rPr>
          <w:i/>
          <w:spacing w:val="-4"/>
          <w:szCs w:val="28"/>
        </w:rPr>
        <w:t xml:space="preserve"> консолидированного бюджета</w:t>
      </w:r>
      <w:r w:rsidRPr="00B36AC9">
        <w:rPr>
          <w:spacing w:val="-4"/>
          <w:szCs w:val="28"/>
        </w:rPr>
        <w:t xml:space="preserve"> (с учетом внебюджетного фонда</w:t>
      </w:r>
      <w:r>
        <w:rPr>
          <w:spacing w:val="-4"/>
          <w:szCs w:val="28"/>
        </w:rPr>
        <w:t>) страны в 2018 г. выросли на 13</w:t>
      </w:r>
      <w:r w:rsidRPr="00B36AC9">
        <w:rPr>
          <w:spacing w:val="-4"/>
          <w:szCs w:val="28"/>
        </w:rPr>
        <w:t>%, Вологодской области – на 20%</w:t>
      </w:r>
      <w:r>
        <w:rPr>
          <w:spacing w:val="-4"/>
          <w:szCs w:val="28"/>
        </w:rPr>
        <w:t xml:space="preserve"> (Рис. 14)</w:t>
      </w:r>
      <w:r w:rsidRPr="00B36AC9">
        <w:rPr>
          <w:spacing w:val="-4"/>
          <w:szCs w:val="28"/>
        </w:rPr>
        <w:t>.</w:t>
      </w:r>
    </w:p>
    <w:p w:rsidR="00995029" w:rsidRDefault="00995029" w:rsidP="00995029">
      <w:pPr>
        <w:spacing w:line="240" w:lineRule="auto"/>
        <w:ind w:firstLine="709"/>
        <w:rPr>
          <w:spacing w:val="-6"/>
          <w:szCs w:val="28"/>
        </w:rPr>
      </w:pPr>
    </w:p>
    <w:p w:rsidR="006856D8" w:rsidRPr="00AC1BF0" w:rsidRDefault="006856D8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AC1BF0">
        <w:rPr>
          <w:noProof/>
          <w:sz w:val="18"/>
          <w:szCs w:val="28"/>
          <w:lang w:eastAsia="ru-RU"/>
        </w:rPr>
        <w:drawing>
          <wp:inline distT="0" distB="0" distL="0" distR="0" wp14:anchorId="38850A9E" wp14:editId="62F53406">
            <wp:extent cx="5400000" cy="2520000"/>
            <wp:effectExtent l="0" t="0" r="0" b="0"/>
            <wp:docPr id="37" name="Диаграмма 3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BD3F37" w:rsidRDefault="006856D8" w:rsidP="00BD3F37">
      <w:pPr>
        <w:spacing w:line="240" w:lineRule="auto"/>
        <w:ind w:firstLine="0"/>
        <w:jc w:val="center"/>
        <w:rPr>
          <w:sz w:val="24"/>
          <w:szCs w:val="28"/>
        </w:rPr>
      </w:pPr>
      <w:r w:rsidRPr="00BD3F37">
        <w:rPr>
          <w:sz w:val="24"/>
          <w:szCs w:val="28"/>
        </w:rPr>
        <w:t>Рис. 14. Динамика доходов консолидированного бюджета</w:t>
      </w:r>
      <w:r w:rsidR="00BD3F37">
        <w:rPr>
          <w:sz w:val="24"/>
          <w:szCs w:val="28"/>
        </w:rPr>
        <w:t xml:space="preserve"> </w:t>
      </w:r>
    </w:p>
    <w:p w:rsidR="006856D8" w:rsidRDefault="006856D8" w:rsidP="00BD3F37">
      <w:pPr>
        <w:spacing w:line="240" w:lineRule="auto"/>
        <w:ind w:firstLine="0"/>
        <w:jc w:val="center"/>
        <w:rPr>
          <w:sz w:val="24"/>
          <w:szCs w:val="28"/>
        </w:rPr>
      </w:pPr>
      <w:r w:rsidRPr="00BD3F37">
        <w:rPr>
          <w:sz w:val="24"/>
          <w:szCs w:val="28"/>
        </w:rPr>
        <w:t>(с учетом внебюджетного фонда)</w:t>
      </w:r>
    </w:p>
    <w:p w:rsidR="00995029" w:rsidRDefault="00995029" w:rsidP="00995029">
      <w:pPr>
        <w:spacing w:line="240" w:lineRule="auto"/>
        <w:ind w:firstLine="709"/>
        <w:rPr>
          <w:i/>
          <w:spacing w:val="-4"/>
          <w:szCs w:val="28"/>
        </w:rPr>
      </w:pPr>
    </w:p>
    <w:p w:rsidR="00995029" w:rsidRPr="00B36AC9" w:rsidRDefault="00995029" w:rsidP="00995029">
      <w:pPr>
        <w:spacing w:line="240" w:lineRule="auto"/>
        <w:ind w:firstLine="709"/>
        <w:rPr>
          <w:noProof/>
          <w:color w:val="3E9B41"/>
          <w:spacing w:val="-6"/>
          <w:szCs w:val="28"/>
          <w:lang w:eastAsia="ru-RU"/>
        </w:rPr>
      </w:pPr>
      <w:r w:rsidRPr="00B36AC9">
        <w:rPr>
          <w:i/>
          <w:spacing w:val="-4"/>
          <w:szCs w:val="28"/>
        </w:rPr>
        <w:t>Сальдированный финансовый результат</w:t>
      </w:r>
      <w:r w:rsidRPr="00B36AC9">
        <w:rPr>
          <w:spacing w:val="-4"/>
          <w:szCs w:val="28"/>
        </w:rPr>
        <w:t xml:space="preserve"> (прибыль минус убыток) деятельн</w:t>
      </w:r>
      <w:r w:rsidRPr="00B36AC9">
        <w:rPr>
          <w:spacing w:val="-4"/>
          <w:szCs w:val="28"/>
        </w:rPr>
        <w:t>о</w:t>
      </w:r>
      <w:r w:rsidRPr="00B36AC9">
        <w:rPr>
          <w:spacing w:val="-4"/>
          <w:szCs w:val="28"/>
        </w:rPr>
        <w:t>сти российских организаций в 2018 г. с учетом инфляции вырос на 35%, волого</w:t>
      </w:r>
      <w:r w:rsidRPr="00B36AC9">
        <w:rPr>
          <w:spacing w:val="-4"/>
          <w:szCs w:val="28"/>
        </w:rPr>
        <w:t>д</w:t>
      </w:r>
      <w:r w:rsidRPr="00B36AC9">
        <w:rPr>
          <w:spacing w:val="-4"/>
          <w:szCs w:val="28"/>
        </w:rPr>
        <w:t>ских – на 1%</w:t>
      </w:r>
      <w:r>
        <w:rPr>
          <w:spacing w:val="-4"/>
          <w:szCs w:val="28"/>
        </w:rPr>
        <w:t xml:space="preserve"> (Рис. 15)</w:t>
      </w:r>
      <w:r w:rsidRPr="00B36AC9">
        <w:rPr>
          <w:spacing w:val="-4"/>
          <w:szCs w:val="28"/>
        </w:rPr>
        <w:t>.</w:t>
      </w:r>
    </w:p>
    <w:p w:rsidR="00995029" w:rsidRPr="00BD3F37" w:rsidRDefault="00995029" w:rsidP="00BD3F37">
      <w:pPr>
        <w:spacing w:line="240" w:lineRule="auto"/>
        <w:ind w:firstLine="0"/>
        <w:jc w:val="center"/>
        <w:rPr>
          <w:sz w:val="24"/>
          <w:szCs w:val="28"/>
        </w:rPr>
      </w:pPr>
    </w:p>
    <w:p w:rsidR="006856D8" w:rsidRPr="00AC1BF0" w:rsidRDefault="006856D8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AC1BF0">
        <w:rPr>
          <w:noProof/>
          <w:sz w:val="18"/>
          <w:szCs w:val="28"/>
          <w:lang w:eastAsia="ru-RU"/>
        </w:rPr>
        <w:drawing>
          <wp:inline distT="0" distB="0" distL="0" distR="0" wp14:anchorId="46AE8981" wp14:editId="30DDFAE6">
            <wp:extent cx="5400000" cy="2520000"/>
            <wp:effectExtent l="0" t="0" r="0" b="0"/>
            <wp:docPr id="38" name="Диаграмма 3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6856D8" w:rsidRPr="00BD3F37" w:rsidRDefault="006856D8" w:rsidP="00BD3F37">
      <w:pPr>
        <w:spacing w:line="240" w:lineRule="auto"/>
        <w:ind w:firstLine="0"/>
        <w:jc w:val="center"/>
        <w:rPr>
          <w:sz w:val="24"/>
          <w:szCs w:val="28"/>
        </w:rPr>
      </w:pPr>
      <w:r w:rsidRPr="00BD3F37">
        <w:rPr>
          <w:sz w:val="24"/>
          <w:szCs w:val="28"/>
        </w:rPr>
        <w:t>Рис. 15. Динамика сальдированного финансового результата деятельности организаций</w:t>
      </w:r>
    </w:p>
    <w:p w:rsidR="006856D8" w:rsidRDefault="006856D8" w:rsidP="008E2D17">
      <w:pPr>
        <w:spacing w:line="240" w:lineRule="auto"/>
        <w:ind w:firstLine="709"/>
        <w:rPr>
          <w:spacing w:val="-6"/>
          <w:szCs w:val="28"/>
        </w:rPr>
      </w:pPr>
    </w:p>
    <w:p w:rsidR="00AC1BF0" w:rsidRDefault="00FD10B1" w:rsidP="008E2D17">
      <w:pPr>
        <w:spacing w:line="240" w:lineRule="auto"/>
        <w:ind w:firstLine="709"/>
        <w:rPr>
          <w:b/>
          <w:noProof/>
          <w:szCs w:val="28"/>
          <w:lang w:eastAsia="ru-RU"/>
        </w:rPr>
      </w:pPr>
      <w:r>
        <w:rPr>
          <w:b/>
          <w:noProof/>
          <w:szCs w:val="28"/>
          <w:lang w:eastAsia="ru-RU"/>
        </w:rPr>
        <w:t>Третья стадия –</w:t>
      </w:r>
      <w:r w:rsidR="00AC1BF0">
        <w:rPr>
          <w:b/>
          <w:noProof/>
          <w:szCs w:val="28"/>
          <w:lang w:eastAsia="ru-RU"/>
        </w:rPr>
        <w:t xml:space="preserve"> Конечное использование</w:t>
      </w:r>
    </w:p>
    <w:p w:rsidR="00AC1BF0" w:rsidRDefault="00AB2B20" w:rsidP="008E2D17">
      <w:pPr>
        <w:spacing w:line="240" w:lineRule="auto"/>
        <w:ind w:firstLine="709"/>
        <w:rPr>
          <w:spacing w:val="-4"/>
          <w:szCs w:val="28"/>
        </w:rPr>
      </w:pPr>
      <w:r w:rsidRPr="00AC1BF0">
        <w:rPr>
          <w:spacing w:val="-4"/>
          <w:szCs w:val="28"/>
        </w:rPr>
        <w:t>Потребительский спрос</w:t>
      </w:r>
      <w:r w:rsidRPr="00B202FB">
        <w:rPr>
          <w:spacing w:val="-4"/>
          <w:szCs w:val="28"/>
        </w:rPr>
        <w:t xml:space="preserve"> в 2018 г. превратился в основной фактор экономич</w:t>
      </w:r>
      <w:r w:rsidRPr="00B202FB">
        <w:rPr>
          <w:spacing w:val="-4"/>
          <w:szCs w:val="28"/>
        </w:rPr>
        <w:t>е</w:t>
      </w:r>
      <w:r w:rsidRPr="00B202FB">
        <w:rPr>
          <w:spacing w:val="-4"/>
          <w:szCs w:val="28"/>
        </w:rPr>
        <w:t>ского роста</w:t>
      </w:r>
      <w:r w:rsidR="003363BB">
        <w:rPr>
          <w:spacing w:val="-4"/>
          <w:szCs w:val="28"/>
        </w:rPr>
        <w:t xml:space="preserve"> (Рис. 16)</w:t>
      </w:r>
      <w:r w:rsidRPr="00B202FB">
        <w:rPr>
          <w:spacing w:val="-4"/>
          <w:szCs w:val="28"/>
        </w:rPr>
        <w:t>. Его драйвером стал авторынок (+1</w:t>
      </w:r>
      <w:r w:rsidR="00672910">
        <w:rPr>
          <w:spacing w:val="-4"/>
          <w:szCs w:val="28"/>
        </w:rPr>
        <w:t>3</w:t>
      </w:r>
      <w:r w:rsidRPr="00B202FB">
        <w:rPr>
          <w:spacing w:val="-4"/>
          <w:szCs w:val="28"/>
        </w:rPr>
        <w:t>%) и общепит (+</w:t>
      </w:r>
      <w:r w:rsidR="00672910">
        <w:rPr>
          <w:spacing w:val="-4"/>
          <w:szCs w:val="28"/>
        </w:rPr>
        <w:t>4</w:t>
      </w:r>
      <w:r w:rsidRPr="00B202FB">
        <w:rPr>
          <w:spacing w:val="-4"/>
          <w:szCs w:val="28"/>
        </w:rPr>
        <w:t>%), в том числе благо</w:t>
      </w:r>
      <w:r w:rsidR="00AC1BF0">
        <w:rPr>
          <w:spacing w:val="-4"/>
          <w:szCs w:val="28"/>
        </w:rPr>
        <w:t>даря чемпионату мира по футболу.</w:t>
      </w:r>
    </w:p>
    <w:p w:rsidR="00AC1BF0" w:rsidRDefault="00AC1BF0" w:rsidP="008E2D17">
      <w:pPr>
        <w:spacing w:line="240" w:lineRule="auto"/>
        <w:ind w:firstLine="709"/>
        <w:rPr>
          <w:spacing w:val="-4"/>
          <w:szCs w:val="28"/>
        </w:rPr>
      </w:pPr>
    </w:p>
    <w:p w:rsidR="00AC1BF0" w:rsidRPr="00AC1BF0" w:rsidRDefault="00AC1BF0" w:rsidP="00AC1BF0">
      <w:pPr>
        <w:spacing w:line="240" w:lineRule="auto"/>
        <w:ind w:firstLine="0"/>
        <w:jc w:val="center"/>
        <w:rPr>
          <w:noProof/>
          <w:sz w:val="18"/>
          <w:szCs w:val="28"/>
          <w:lang w:eastAsia="ru-RU"/>
        </w:rPr>
      </w:pPr>
      <w:r w:rsidRPr="00AC1BF0">
        <w:rPr>
          <w:noProof/>
          <w:sz w:val="18"/>
          <w:szCs w:val="28"/>
          <w:lang w:eastAsia="ru-RU"/>
        </w:rPr>
        <w:lastRenderedPageBreak/>
        <w:drawing>
          <wp:inline distT="0" distB="0" distL="0" distR="0" wp14:anchorId="78026318" wp14:editId="0EA09120">
            <wp:extent cx="5400000" cy="2520000"/>
            <wp:effectExtent l="0" t="0" r="0" b="0"/>
            <wp:docPr id="45" name="Диаграмма 4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AC1BF0" w:rsidRPr="00BD3F37" w:rsidRDefault="00AC1BF0" w:rsidP="00AC1BF0">
      <w:pPr>
        <w:spacing w:line="240" w:lineRule="auto"/>
        <w:ind w:firstLine="0"/>
        <w:jc w:val="center"/>
        <w:rPr>
          <w:sz w:val="24"/>
          <w:szCs w:val="28"/>
        </w:rPr>
      </w:pPr>
      <w:r w:rsidRPr="00BD3F37">
        <w:rPr>
          <w:sz w:val="24"/>
          <w:szCs w:val="28"/>
        </w:rPr>
        <w:t>Рис. 16. Динамика оборота розничной торговли</w:t>
      </w:r>
    </w:p>
    <w:p w:rsidR="00AC1BF0" w:rsidRPr="00B202FB" w:rsidRDefault="00AC1BF0" w:rsidP="00AC1BF0">
      <w:pPr>
        <w:spacing w:line="240" w:lineRule="auto"/>
        <w:ind w:firstLine="709"/>
        <w:rPr>
          <w:szCs w:val="28"/>
        </w:rPr>
      </w:pPr>
      <w:r w:rsidRPr="00B202FB">
        <w:rPr>
          <w:b/>
          <w:szCs w:val="28"/>
        </w:rPr>
        <w:t xml:space="preserve"> </w:t>
      </w:r>
    </w:p>
    <w:p w:rsidR="00AC1BF0" w:rsidRPr="00AC1BF0" w:rsidRDefault="00AC1BF0" w:rsidP="008E2D17">
      <w:pPr>
        <w:spacing w:line="240" w:lineRule="auto"/>
        <w:ind w:firstLine="709"/>
        <w:rPr>
          <w:spacing w:val="-4"/>
          <w:szCs w:val="28"/>
        </w:rPr>
        <w:sectPr w:rsidR="00AC1BF0" w:rsidRPr="00AC1BF0" w:rsidSect="00AC1BF0">
          <w:type w:val="continuous"/>
          <w:pgSz w:w="11906" w:h="16838"/>
          <w:pgMar w:top="1134" w:right="850" w:bottom="1134" w:left="1134" w:header="709" w:footer="709" w:gutter="0"/>
          <w:cols w:space="708"/>
          <w:docGrid w:linePitch="381"/>
        </w:sectPr>
      </w:pPr>
    </w:p>
    <w:p w:rsidR="00AB2B20" w:rsidRPr="00B202FB" w:rsidRDefault="00AB2B20" w:rsidP="008E2D17">
      <w:pPr>
        <w:spacing w:line="240" w:lineRule="auto"/>
        <w:ind w:firstLine="709"/>
        <w:rPr>
          <w:spacing w:val="-4"/>
          <w:szCs w:val="28"/>
        </w:rPr>
      </w:pPr>
      <w:r w:rsidRPr="00B202FB">
        <w:rPr>
          <w:spacing w:val="-4"/>
          <w:szCs w:val="28"/>
        </w:rPr>
        <w:lastRenderedPageBreak/>
        <w:t>Оборот розничной</w:t>
      </w:r>
      <w:r w:rsidR="00E30C49">
        <w:rPr>
          <w:spacing w:val="-4"/>
          <w:szCs w:val="28"/>
        </w:rPr>
        <w:t xml:space="preserve"> торговли в РФ за год вырос на два с половиной процента</w:t>
      </w:r>
      <w:r w:rsidRPr="00B202FB">
        <w:rPr>
          <w:spacing w:val="-4"/>
          <w:szCs w:val="28"/>
        </w:rPr>
        <w:t xml:space="preserve">, в Вологодской области – на 5% (в том числе пищевыми продуктами – на </w:t>
      </w:r>
      <w:r w:rsidR="00D875BB">
        <w:rPr>
          <w:spacing w:val="-4"/>
          <w:szCs w:val="28"/>
        </w:rPr>
        <w:t>6</w:t>
      </w:r>
      <w:r w:rsidRPr="00B202FB">
        <w:rPr>
          <w:spacing w:val="-4"/>
          <w:szCs w:val="28"/>
        </w:rPr>
        <w:t>%, непрод</w:t>
      </w:r>
      <w:r w:rsidRPr="00B202FB">
        <w:rPr>
          <w:spacing w:val="-4"/>
          <w:szCs w:val="28"/>
        </w:rPr>
        <w:t>о</w:t>
      </w:r>
      <w:r w:rsidRPr="00B202FB">
        <w:rPr>
          <w:spacing w:val="-4"/>
          <w:szCs w:val="28"/>
        </w:rPr>
        <w:t xml:space="preserve">вольственными товарами – на </w:t>
      </w:r>
      <w:r w:rsidR="00D875BB">
        <w:rPr>
          <w:spacing w:val="-4"/>
          <w:szCs w:val="28"/>
        </w:rPr>
        <w:t>5</w:t>
      </w:r>
      <w:r w:rsidRPr="00B202FB">
        <w:rPr>
          <w:spacing w:val="-4"/>
          <w:szCs w:val="28"/>
        </w:rPr>
        <w:t>%). Прирост показал также сектор платных услуг страны (+</w:t>
      </w:r>
      <w:r w:rsidR="00D875BB">
        <w:rPr>
          <w:spacing w:val="-4"/>
          <w:szCs w:val="28"/>
        </w:rPr>
        <w:t>3</w:t>
      </w:r>
      <w:r w:rsidRPr="00B202FB">
        <w:rPr>
          <w:spacing w:val="-4"/>
          <w:szCs w:val="28"/>
        </w:rPr>
        <w:t>%).</w:t>
      </w:r>
    </w:p>
    <w:p w:rsidR="00AB2B20" w:rsidRPr="00B202FB" w:rsidRDefault="00AB2B20" w:rsidP="008E2D17">
      <w:pPr>
        <w:spacing w:line="240" w:lineRule="auto"/>
        <w:ind w:firstLine="709"/>
        <w:rPr>
          <w:spacing w:val="-6"/>
          <w:szCs w:val="28"/>
        </w:rPr>
      </w:pPr>
      <w:r w:rsidRPr="00B202FB">
        <w:rPr>
          <w:spacing w:val="-6"/>
          <w:szCs w:val="28"/>
        </w:rPr>
        <w:t>Потребительская инфляция в России</w:t>
      </w:r>
      <w:r w:rsidR="00D875BB">
        <w:rPr>
          <w:spacing w:val="-6"/>
          <w:szCs w:val="28"/>
        </w:rPr>
        <w:t xml:space="preserve"> в 2018 г.</w:t>
      </w:r>
      <w:r w:rsidRPr="00B202FB">
        <w:rPr>
          <w:spacing w:val="-6"/>
          <w:szCs w:val="28"/>
        </w:rPr>
        <w:t xml:space="preserve"> ускорилась с 2,5% до 4%. В обл</w:t>
      </w:r>
      <w:r w:rsidRPr="00B202FB">
        <w:rPr>
          <w:spacing w:val="-6"/>
          <w:szCs w:val="28"/>
        </w:rPr>
        <w:t>а</w:t>
      </w:r>
      <w:r w:rsidRPr="00B202FB">
        <w:rPr>
          <w:spacing w:val="-6"/>
          <w:szCs w:val="28"/>
        </w:rPr>
        <w:t xml:space="preserve">сти также отмечается усиление инфляции – с 2 до </w:t>
      </w:r>
      <w:r w:rsidR="00D875BB">
        <w:rPr>
          <w:spacing w:val="-6"/>
          <w:szCs w:val="28"/>
        </w:rPr>
        <w:t>4</w:t>
      </w:r>
      <w:r w:rsidRPr="00B202FB">
        <w:rPr>
          <w:spacing w:val="-6"/>
          <w:szCs w:val="28"/>
        </w:rPr>
        <w:t>%. Ключевым фактором роста и</w:t>
      </w:r>
      <w:r w:rsidRPr="00B202FB">
        <w:rPr>
          <w:spacing w:val="-6"/>
          <w:szCs w:val="28"/>
        </w:rPr>
        <w:t>н</w:t>
      </w:r>
      <w:r w:rsidRPr="00B202FB">
        <w:rPr>
          <w:spacing w:val="-6"/>
          <w:szCs w:val="28"/>
        </w:rPr>
        <w:t>фляции выступает ЖКХ. За 2018 г. жилищно-коммунальные услуги подорожали в о</w:t>
      </w:r>
      <w:r w:rsidRPr="00B202FB">
        <w:rPr>
          <w:spacing w:val="-6"/>
          <w:szCs w:val="28"/>
        </w:rPr>
        <w:t>б</w:t>
      </w:r>
      <w:r w:rsidRPr="00B202FB">
        <w:rPr>
          <w:spacing w:val="-6"/>
          <w:szCs w:val="28"/>
        </w:rPr>
        <w:t xml:space="preserve">ласти на </w:t>
      </w:r>
      <w:r w:rsidR="00D875BB">
        <w:rPr>
          <w:spacing w:val="-6"/>
          <w:szCs w:val="28"/>
        </w:rPr>
        <w:t>6</w:t>
      </w:r>
      <w:r w:rsidRPr="00B202FB">
        <w:rPr>
          <w:spacing w:val="-6"/>
          <w:szCs w:val="28"/>
        </w:rPr>
        <w:t>%. По этому показателю регион занимает 8 место в стране.</w:t>
      </w:r>
    </w:p>
    <w:p w:rsidR="00AB2B20" w:rsidRPr="00B202FB" w:rsidRDefault="00AB2B20" w:rsidP="008E2D17">
      <w:pPr>
        <w:spacing w:line="240" w:lineRule="auto"/>
        <w:ind w:firstLine="709"/>
        <w:rPr>
          <w:noProof/>
          <w:szCs w:val="28"/>
          <w:lang w:eastAsia="ru-RU"/>
        </w:rPr>
      </w:pPr>
    </w:p>
    <w:p w:rsidR="00AB2B20" w:rsidRPr="00B202FB" w:rsidRDefault="00AB2B20" w:rsidP="008E2D17">
      <w:pPr>
        <w:spacing w:line="240" w:lineRule="auto"/>
        <w:ind w:firstLine="709"/>
        <w:rPr>
          <w:szCs w:val="28"/>
        </w:rPr>
      </w:pPr>
    </w:p>
    <w:p w:rsidR="00AB2B20" w:rsidRPr="00B202FB" w:rsidRDefault="00AB2B20" w:rsidP="008E2D17">
      <w:pPr>
        <w:spacing w:line="240" w:lineRule="auto"/>
        <w:ind w:firstLine="709"/>
        <w:rPr>
          <w:szCs w:val="28"/>
        </w:rPr>
      </w:pPr>
    </w:p>
    <w:p w:rsidR="00AB2B20" w:rsidRPr="00B202FB" w:rsidRDefault="00AB2B20" w:rsidP="008E2D17">
      <w:pPr>
        <w:spacing w:line="240" w:lineRule="auto"/>
        <w:ind w:firstLine="709"/>
        <w:rPr>
          <w:szCs w:val="28"/>
        </w:rPr>
      </w:pPr>
    </w:p>
    <w:p w:rsidR="00AB2B20" w:rsidRPr="00B202FB" w:rsidRDefault="00AB2B20" w:rsidP="008E2D17">
      <w:pPr>
        <w:spacing w:line="240" w:lineRule="auto"/>
        <w:ind w:firstLine="709"/>
        <w:rPr>
          <w:szCs w:val="28"/>
        </w:rPr>
      </w:pPr>
    </w:p>
    <w:p w:rsidR="00AB2B20" w:rsidRPr="00B202FB" w:rsidRDefault="00AB2B20" w:rsidP="008E2D17">
      <w:pPr>
        <w:spacing w:line="240" w:lineRule="auto"/>
        <w:ind w:firstLine="709"/>
        <w:rPr>
          <w:szCs w:val="28"/>
        </w:rPr>
      </w:pPr>
    </w:p>
    <w:p w:rsidR="00AB2B20" w:rsidRPr="00B202FB" w:rsidRDefault="00AB2B20" w:rsidP="008E2D17">
      <w:pPr>
        <w:spacing w:line="240" w:lineRule="auto"/>
        <w:ind w:firstLine="709"/>
        <w:rPr>
          <w:spacing w:val="-4"/>
          <w:szCs w:val="28"/>
        </w:rPr>
      </w:pPr>
      <w:r w:rsidRPr="00B202FB">
        <w:rPr>
          <w:spacing w:val="-4"/>
          <w:szCs w:val="28"/>
        </w:rPr>
        <w:t xml:space="preserve">В 2018 г. в российской экономике замедлился рост </w:t>
      </w:r>
      <w:r w:rsidRPr="00B202FB">
        <w:rPr>
          <w:i/>
          <w:spacing w:val="-4"/>
          <w:szCs w:val="28"/>
        </w:rPr>
        <w:t>валового накопления осно</w:t>
      </w:r>
      <w:r w:rsidRPr="00B202FB">
        <w:rPr>
          <w:i/>
          <w:spacing w:val="-4"/>
          <w:szCs w:val="28"/>
        </w:rPr>
        <w:t>в</w:t>
      </w:r>
      <w:r w:rsidRPr="00B202FB">
        <w:rPr>
          <w:i/>
          <w:spacing w:val="-4"/>
          <w:szCs w:val="28"/>
        </w:rPr>
        <w:t>ного капитала</w:t>
      </w:r>
      <w:r w:rsidRPr="00B202FB">
        <w:rPr>
          <w:spacing w:val="-4"/>
          <w:szCs w:val="28"/>
        </w:rPr>
        <w:t>.</w:t>
      </w:r>
    </w:p>
    <w:p w:rsidR="00AB2B20" w:rsidRDefault="00AB2B20" w:rsidP="008E2D17">
      <w:pPr>
        <w:spacing w:line="240" w:lineRule="auto"/>
        <w:ind w:firstLine="709"/>
        <w:rPr>
          <w:spacing w:val="-4"/>
          <w:szCs w:val="28"/>
        </w:rPr>
      </w:pPr>
      <w:proofErr w:type="gramStart"/>
      <w:r w:rsidRPr="00B202FB">
        <w:rPr>
          <w:spacing w:val="-4"/>
          <w:szCs w:val="28"/>
        </w:rPr>
        <w:t>Прирост инвестиций</w:t>
      </w:r>
      <w:r w:rsidRPr="00B36AC9">
        <w:rPr>
          <w:spacing w:val="-4"/>
          <w:szCs w:val="28"/>
        </w:rPr>
        <w:t xml:space="preserve"> в основной капитал в стране в 2018 г. составил 4</w:t>
      </w:r>
      <w:r w:rsidR="00D875BB">
        <w:rPr>
          <w:spacing w:val="-4"/>
          <w:szCs w:val="28"/>
        </w:rPr>
        <w:t>,5</w:t>
      </w:r>
      <w:r w:rsidRPr="00B36AC9">
        <w:rPr>
          <w:spacing w:val="-4"/>
          <w:szCs w:val="28"/>
        </w:rPr>
        <w:t>% (г</w:t>
      </w:r>
      <w:r w:rsidRPr="00B36AC9">
        <w:rPr>
          <w:spacing w:val="-4"/>
          <w:szCs w:val="28"/>
        </w:rPr>
        <w:t>о</w:t>
      </w:r>
      <w:r w:rsidRPr="00B36AC9">
        <w:rPr>
          <w:spacing w:val="-4"/>
          <w:szCs w:val="28"/>
        </w:rPr>
        <w:t>дом ранее</w:t>
      </w:r>
      <w:r w:rsidR="00D875BB">
        <w:rPr>
          <w:spacing w:val="-4"/>
          <w:szCs w:val="28"/>
        </w:rPr>
        <w:t xml:space="preserve"> было</w:t>
      </w:r>
      <w:r w:rsidRPr="00B36AC9">
        <w:rPr>
          <w:spacing w:val="-4"/>
          <w:szCs w:val="28"/>
        </w:rPr>
        <w:t xml:space="preserve"> </w:t>
      </w:r>
      <w:r w:rsidR="00D875BB">
        <w:rPr>
          <w:spacing w:val="-4"/>
          <w:szCs w:val="28"/>
        </w:rPr>
        <w:t>5%), в Вологодской области – 2%, существенно замедлившись с</w:t>
      </w:r>
      <w:r w:rsidRPr="00B36AC9">
        <w:rPr>
          <w:spacing w:val="-4"/>
          <w:szCs w:val="28"/>
        </w:rPr>
        <w:t xml:space="preserve"> 14,5%</w:t>
      </w:r>
      <w:r w:rsidR="00D875BB">
        <w:rPr>
          <w:spacing w:val="-4"/>
          <w:szCs w:val="28"/>
        </w:rPr>
        <w:t xml:space="preserve"> в прошлом году</w:t>
      </w:r>
      <w:r w:rsidRPr="00B36AC9">
        <w:rPr>
          <w:spacing w:val="-4"/>
          <w:szCs w:val="28"/>
        </w:rPr>
        <w:t>)</w:t>
      </w:r>
      <w:r w:rsidR="003363BB">
        <w:rPr>
          <w:spacing w:val="-4"/>
          <w:szCs w:val="28"/>
        </w:rPr>
        <w:t xml:space="preserve"> (Рис. 17)</w:t>
      </w:r>
      <w:r w:rsidRPr="00B36AC9">
        <w:rPr>
          <w:spacing w:val="-4"/>
          <w:szCs w:val="28"/>
        </w:rPr>
        <w:t>.</w:t>
      </w:r>
      <w:proofErr w:type="gramEnd"/>
      <w:r w:rsidR="003363BB">
        <w:rPr>
          <w:spacing w:val="-4"/>
          <w:szCs w:val="28"/>
        </w:rPr>
        <w:t xml:space="preserve"> </w:t>
      </w:r>
      <w:r w:rsidRPr="00B36AC9">
        <w:rPr>
          <w:spacing w:val="-4"/>
          <w:szCs w:val="28"/>
        </w:rPr>
        <w:t xml:space="preserve">По сравнению с 2008 г. объем инвестиций в РФ вырос на 6%. В Вологодской области он сократился на 3% (44 место в стране). </w:t>
      </w:r>
    </w:p>
    <w:p w:rsidR="007832A3" w:rsidRDefault="007832A3" w:rsidP="008E2D17">
      <w:pPr>
        <w:spacing w:line="240" w:lineRule="auto"/>
        <w:ind w:firstLine="709"/>
        <w:rPr>
          <w:spacing w:val="-4"/>
          <w:szCs w:val="28"/>
          <w:lang w:val="en-US"/>
        </w:rPr>
      </w:pPr>
    </w:p>
    <w:p w:rsidR="00B171E3" w:rsidRDefault="00B171E3" w:rsidP="008E2D17">
      <w:pPr>
        <w:spacing w:line="240" w:lineRule="auto"/>
        <w:ind w:firstLine="709"/>
        <w:rPr>
          <w:spacing w:val="-4"/>
          <w:szCs w:val="28"/>
          <w:lang w:val="en-US"/>
        </w:rPr>
      </w:pPr>
      <w:r w:rsidRPr="00B36AC9">
        <w:rPr>
          <w:noProof/>
          <w:szCs w:val="28"/>
          <w:lang w:eastAsia="ru-RU"/>
        </w:rPr>
        <w:lastRenderedPageBreak/>
        <w:drawing>
          <wp:inline distT="0" distB="0" distL="0" distR="0" wp14:anchorId="3BF4EEC0" wp14:editId="3E781B5C">
            <wp:extent cx="5400000" cy="2520000"/>
            <wp:effectExtent l="0" t="0" r="0" b="0"/>
            <wp:docPr id="54" name="Диаграмма 5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B171E3" w:rsidRPr="00BD3F37" w:rsidRDefault="00B171E3" w:rsidP="00BD3F37">
      <w:pPr>
        <w:spacing w:line="240" w:lineRule="auto"/>
        <w:ind w:firstLine="0"/>
        <w:jc w:val="center"/>
        <w:rPr>
          <w:sz w:val="24"/>
          <w:szCs w:val="28"/>
        </w:rPr>
      </w:pPr>
      <w:r w:rsidRPr="00BD3F37">
        <w:rPr>
          <w:sz w:val="24"/>
          <w:szCs w:val="28"/>
        </w:rPr>
        <w:t>Рис. 17. Динамика инвестиций в основной капитал</w:t>
      </w:r>
    </w:p>
    <w:p w:rsidR="00B171E3" w:rsidRDefault="00B171E3" w:rsidP="008E2D17">
      <w:pPr>
        <w:spacing w:line="240" w:lineRule="auto"/>
        <w:ind w:firstLine="709"/>
        <w:rPr>
          <w:spacing w:val="-4"/>
          <w:szCs w:val="28"/>
        </w:rPr>
      </w:pPr>
    </w:p>
    <w:p w:rsidR="00AC1BF0" w:rsidRPr="00B36AC9" w:rsidRDefault="00AC1BF0" w:rsidP="00AC1BF0">
      <w:pPr>
        <w:spacing w:line="240" w:lineRule="auto"/>
        <w:ind w:firstLine="709"/>
        <w:rPr>
          <w:spacing w:val="-6"/>
          <w:szCs w:val="28"/>
        </w:rPr>
      </w:pPr>
      <w:r w:rsidRPr="00B36AC9">
        <w:rPr>
          <w:spacing w:val="-6"/>
          <w:szCs w:val="28"/>
        </w:rPr>
        <w:t>Объем строительных работ за последний год в целом по РФ вырос на 5</w:t>
      </w:r>
      <w:r>
        <w:rPr>
          <w:spacing w:val="-6"/>
          <w:szCs w:val="28"/>
        </w:rPr>
        <w:t>%, по Вологодской области – на 4</w:t>
      </w:r>
      <w:r w:rsidRPr="00B36AC9">
        <w:rPr>
          <w:spacing w:val="-6"/>
          <w:szCs w:val="28"/>
        </w:rPr>
        <w:t>%</w:t>
      </w:r>
      <w:r>
        <w:rPr>
          <w:spacing w:val="-6"/>
          <w:szCs w:val="28"/>
        </w:rPr>
        <w:t xml:space="preserve"> (Рис. 18)</w:t>
      </w:r>
      <w:r w:rsidRPr="00B36AC9">
        <w:rPr>
          <w:spacing w:val="-6"/>
          <w:szCs w:val="28"/>
        </w:rPr>
        <w:t xml:space="preserve">. </w:t>
      </w:r>
    </w:p>
    <w:p w:rsidR="00AC1BF0" w:rsidRPr="00B171E3" w:rsidRDefault="00AC1BF0" w:rsidP="008E2D17">
      <w:pPr>
        <w:spacing w:line="240" w:lineRule="auto"/>
        <w:ind w:firstLine="709"/>
        <w:rPr>
          <w:spacing w:val="-4"/>
          <w:szCs w:val="28"/>
        </w:rPr>
      </w:pPr>
    </w:p>
    <w:p w:rsidR="00B171E3" w:rsidRPr="00B171E3" w:rsidRDefault="00B171E3" w:rsidP="008E2D17">
      <w:pPr>
        <w:spacing w:line="240" w:lineRule="auto"/>
        <w:ind w:firstLine="709"/>
        <w:rPr>
          <w:spacing w:val="-4"/>
          <w:szCs w:val="28"/>
        </w:rPr>
      </w:pPr>
      <w:r w:rsidRPr="00B36AC9">
        <w:rPr>
          <w:noProof/>
          <w:szCs w:val="28"/>
          <w:lang w:eastAsia="ru-RU"/>
        </w:rPr>
        <w:drawing>
          <wp:inline distT="0" distB="0" distL="0" distR="0" wp14:anchorId="5781040C" wp14:editId="0B8530AE">
            <wp:extent cx="5400000" cy="2520000"/>
            <wp:effectExtent l="0" t="0" r="0" b="0"/>
            <wp:docPr id="55" name="Диаграмма 5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B171E3" w:rsidRDefault="00B171E3" w:rsidP="00BD3F37">
      <w:pPr>
        <w:spacing w:line="240" w:lineRule="auto"/>
        <w:ind w:firstLine="0"/>
        <w:jc w:val="center"/>
        <w:rPr>
          <w:sz w:val="24"/>
          <w:szCs w:val="28"/>
        </w:rPr>
      </w:pPr>
      <w:r w:rsidRPr="00BD3F37">
        <w:rPr>
          <w:sz w:val="24"/>
          <w:szCs w:val="28"/>
        </w:rPr>
        <w:t>Рис. 18. Объём работ, выполненных по виду деятельности «Строительство»</w:t>
      </w:r>
    </w:p>
    <w:p w:rsidR="00AC1BF0" w:rsidRDefault="00AC1BF0" w:rsidP="00BD3F37">
      <w:pPr>
        <w:spacing w:line="240" w:lineRule="auto"/>
        <w:ind w:firstLine="0"/>
        <w:jc w:val="center"/>
        <w:rPr>
          <w:sz w:val="24"/>
          <w:szCs w:val="28"/>
        </w:rPr>
      </w:pPr>
    </w:p>
    <w:p w:rsidR="00AC1BF0" w:rsidRPr="00B36AC9" w:rsidRDefault="00AC1BF0" w:rsidP="00AC1BF0">
      <w:pPr>
        <w:spacing w:line="240" w:lineRule="auto"/>
        <w:ind w:firstLine="709"/>
        <w:rPr>
          <w:spacing w:val="-4"/>
          <w:szCs w:val="28"/>
        </w:rPr>
      </w:pPr>
      <w:r w:rsidRPr="00B36AC9">
        <w:rPr>
          <w:spacing w:val="-4"/>
          <w:szCs w:val="28"/>
        </w:rPr>
        <w:t>Последние 4 лет снижаются объемы ввода в действие жилых домов</w:t>
      </w:r>
      <w:r>
        <w:rPr>
          <w:spacing w:val="-4"/>
          <w:szCs w:val="28"/>
        </w:rPr>
        <w:t xml:space="preserve"> (Рис. 19)</w:t>
      </w:r>
      <w:r w:rsidRPr="00B36AC9">
        <w:rPr>
          <w:spacing w:val="-4"/>
          <w:szCs w:val="28"/>
        </w:rPr>
        <w:t>.</w:t>
      </w:r>
    </w:p>
    <w:p w:rsidR="00AC1BF0" w:rsidRPr="00BD3F37" w:rsidRDefault="00AC1BF0" w:rsidP="00BD3F37">
      <w:pPr>
        <w:spacing w:line="240" w:lineRule="auto"/>
        <w:ind w:firstLine="0"/>
        <w:jc w:val="center"/>
        <w:rPr>
          <w:sz w:val="24"/>
          <w:szCs w:val="28"/>
        </w:rPr>
      </w:pPr>
    </w:p>
    <w:p w:rsidR="00B171E3" w:rsidRPr="00B171E3" w:rsidRDefault="00B171E3" w:rsidP="008E2D17">
      <w:pPr>
        <w:spacing w:line="240" w:lineRule="auto"/>
        <w:ind w:firstLine="709"/>
        <w:rPr>
          <w:spacing w:val="-4"/>
          <w:szCs w:val="28"/>
        </w:rPr>
      </w:pPr>
      <w:r w:rsidRPr="00B36AC9">
        <w:rPr>
          <w:noProof/>
          <w:szCs w:val="28"/>
          <w:lang w:eastAsia="ru-RU"/>
        </w:rPr>
        <w:drawing>
          <wp:inline distT="0" distB="0" distL="0" distR="0" wp14:anchorId="0C511764" wp14:editId="1DFB0ACE">
            <wp:extent cx="5400000" cy="2520000"/>
            <wp:effectExtent l="0" t="0" r="0" b="0"/>
            <wp:docPr id="23" name="Диаграмма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B171E3" w:rsidRPr="00BD3F37" w:rsidRDefault="00B171E3" w:rsidP="00BD3F37">
      <w:pPr>
        <w:spacing w:line="240" w:lineRule="auto"/>
        <w:ind w:firstLine="0"/>
        <w:jc w:val="center"/>
        <w:rPr>
          <w:sz w:val="24"/>
          <w:szCs w:val="28"/>
        </w:rPr>
      </w:pPr>
      <w:r w:rsidRPr="00BD3F37">
        <w:rPr>
          <w:sz w:val="24"/>
          <w:szCs w:val="28"/>
        </w:rPr>
        <w:t>Рис. 19. Ввод в действие жилых домов в РФ и Вологодской области</w:t>
      </w:r>
    </w:p>
    <w:p w:rsidR="00B171E3" w:rsidRPr="00B171E3" w:rsidRDefault="00B171E3" w:rsidP="008E2D17">
      <w:pPr>
        <w:spacing w:line="240" w:lineRule="auto"/>
        <w:ind w:firstLine="709"/>
        <w:rPr>
          <w:spacing w:val="-4"/>
          <w:szCs w:val="28"/>
        </w:rPr>
      </w:pPr>
    </w:p>
    <w:p w:rsidR="00AB2B20" w:rsidRPr="00B36AC9" w:rsidRDefault="00AB2B20" w:rsidP="008E2D17">
      <w:pPr>
        <w:spacing w:line="240" w:lineRule="auto"/>
        <w:ind w:firstLine="709"/>
        <w:rPr>
          <w:noProof/>
          <w:szCs w:val="28"/>
          <w:lang w:eastAsia="ru-RU"/>
        </w:rPr>
      </w:pPr>
      <w:r w:rsidRPr="00B36AC9">
        <w:rPr>
          <w:spacing w:val="-4"/>
          <w:szCs w:val="28"/>
        </w:rPr>
        <w:lastRenderedPageBreak/>
        <w:t xml:space="preserve">В 2018 г. объем ввода в действие жилых домов в стране снизился на </w:t>
      </w:r>
      <w:r w:rsidR="009C606E">
        <w:rPr>
          <w:spacing w:val="-4"/>
          <w:szCs w:val="28"/>
        </w:rPr>
        <w:t>5</w:t>
      </w:r>
      <w:r w:rsidRPr="00B36AC9">
        <w:rPr>
          <w:spacing w:val="-4"/>
          <w:szCs w:val="28"/>
        </w:rPr>
        <w:t>%, в В</w:t>
      </w:r>
      <w:r w:rsidRPr="00B36AC9">
        <w:rPr>
          <w:spacing w:val="-4"/>
          <w:szCs w:val="28"/>
        </w:rPr>
        <w:t>о</w:t>
      </w:r>
      <w:r w:rsidRPr="00B36AC9">
        <w:rPr>
          <w:spacing w:val="-4"/>
          <w:szCs w:val="28"/>
        </w:rPr>
        <w:t>логодской области за тот же период введено на 2% меньше жилых площадей.</w:t>
      </w:r>
    </w:p>
    <w:p w:rsidR="00AB2B20" w:rsidRPr="00B36AC9" w:rsidRDefault="00AB2B20" w:rsidP="008E2D17">
      <w:pPr>
        <w:spacing w:line="240" w:lineRule="auto"/>
        <w:ind w:firstLine="709"/>
        <w:jc w:val="center"/>
        <w:rPr>
          <w:b/>
          <w:szCs w:val="28"/>
        </w:rPr>
      </w:pPr>
    </w:p>
    <w:p w:rsidR="00FF717A" w:rsidRPr="00AA5166" w:rsidRDefault="008E2D17" w:rsidP="008E2D17">
      <w:pPr>
        <w:spacing w:line="240" w:lineRule="auto"/>
        <w:ind w:firstLine="709"/>
        <w:rPr>
          <w:b/>
          <w:noProof/>
          <w:spacing w:val="-6"/>
          <w:szCs w:val="28"/>
          <w:lang w:eastAsia="ru-RU"/>
        </w:rPr>
      </w:pPr>
      <w:r w:rsidRPr="00AA5166">
        <w:rPr>
          <w:b/>
          <w:noProof/>
          <w:spacing w:val="-6"/>
          <w:szCs w:val="28"/>
          <w:lang w:eastAsia="ru-RU"/>
        </w:rPr>
        <w:t>Заключение</w:t>
      </w:r>
    </w:p>
    <w:p w:rsidR="00D90B0F" w:rsidRPr="00D90B0F" w:rsidRDefault="00D90B0F" w:rsidP="00AA5166">
      <w:pPr>
        <w:spacing w:line="240" w:lineRule="auto"/>
        <w:ind w:firstLine="709"/>
        <w:rPr>
          <w:noProof/>
          <w:spacing w:val="-6"/>
          <w:szCs w:val="28"/>
          <w:lang w:eastAsia="ru-RU"/>
        </w:rPr>
      </w:pPr>
      <w:r w:rsidRPr="00D90B0F">
        <w:rPr>
          <w:noProof/>
          <w:spacing w:val="-6"/>
          <w:szCs w:val="28"/>
          <w:lang w:eastAsia="ru-RU"/>
        </w:rPr>
        <w:t>В целом, итоги развития экономики России и Вологодской области в 2018 г. можно назвать противоречивыми. С одной стороны, растут все основные экономические агрегаты: выпуск товаров и услуг, доходы государства и бизнеса, потребительский и внешнеторговый спрос. С другой, продолжилась негативная динамика реальных доходов населения, сокращается ввод жилья, оставляет желать лучшего качество экономического роста: стагнируют инвестиции в основной капитал и многие отрасли машиностроения, нарастает закредитованность населения.</w:t>
      </w:r>
    </w:p>
    <w:p w:rsidR="00D90B0F" w:rsidRPr="00D90B0F" w:rsidRDefault="00D90B0F" w:rsidP="00AA5166">
      <w:pPr>
        <w:spacing w:line="240" w:lineRule="auto"/>
        <w:ind w:firstLine="709"/>
        <w:rPr>
          <w:noProof/>
          <w:spacing w:val="-6"/>
          <w:szCs w:val="28"/>
          <w:lang w:eastAsia="ru-RU"/>
        </w:rPr>
      </w:pPr>
      <w:r w:rsidRPr="00D90B0F">
        <w:rPr>
          <w:noProof/>
          <w:spacing w:val="-6"/>
          <w:szCs w:val="28"/>
          <w:lang w:eastAsia="ru-RU"/>
        </w:rPr>
        <w:t xml:space="preserve">Формально, проблема состоит в том, что опорой экономического роста выступает сейчас узкий спектр источников – потребление населения, растущее за счёт потребительского кредитования, и экспорт, главным образом, сырьевых товаров. При этом наблюдается незначительный рост инвестиций в основной капитал. </w:t>
      </w:r>
    </w:p>
    <w:p w:rsidR="006D5A54" w:rsidRDefault="006D5A54" w:rsidP="008E2D17">
      <w:pPr>
        <w:spacing w:line="240" w:lineRule="auto"/>
        <w:ind w:firstLine="709"/>
        <w:rPr>
          <w:szCs w:val="28"/>
        </w:rPr>
      </w:pPr>
    </w:p>
    <w:p w:rsidR="00D80A76" w:rsidRPr="00B36AC9" w:rsidRDefault="00D80A76" w:rsidP="008E2D17">
      <w:pPr>
        <w:spacing w:line="240" w:lineRule="auto"/>
        <w:ind w:firstLine="709"/>
        <w:rPr>
          <w:szCs w:val="28"/>
        </w:rPr>
      </w:pPr>
    </w:p>
    <w:sectPr w:rsidR="00D80A76" w:rsidRPr="00B36AC9" w:rsidSect="0076729A">
      <w:type w:val="continuous"/>
      <w:pgSz w:w="11906" w:h="16838"/>
      <w:pgMar w:top="709" w:right="850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7A68" w:rsidRDefault="009D7A68" w:rsidP="00441C83">
      <w:pPr>
        <w:spacing w:line="240" w:lineRule="auto"/>
      </w:pPr>
      <w:r>
        <w:separator/>
      </w:r>
    </w:p>
  </w:endnote>
  <w:endnote w:type="continuationSeparator" w:id="0">
    <w:p w:rsidR="009D7A68" w:rsidRDefault="009D7A68" w:rsidP="00441C8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7A68" w:rsidRDefault="009D7A68" w:rsidP="00441C83">
      <w:pPr>
        <w:spacing w:line="240" w:lineRule="auto"/>
      </w:pPr>
      <w:r>
        <w:separator/>
      </w:r>
    </w:p>
  </w:footnote>
  <w:footnote w:type="continuationSeparator" w:id="0">
    <w:p w:rsidR="009D7A68" w:rsidRDefault="009D7A68" w:rsidP="00441C8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C6035"/>
    <w:multiLevelType w:val="hybridMultilevel"/>
    <w:tmpl w:val="186EB626"/>
    <w:lvl w:ilvl="0" w:tplc="5246BB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E601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1832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CDE50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0CA90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A492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0FA11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ECE47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EAAAA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71BB5329"/>
    <w:multiLevelType w:val="hybridMultilevel"/>
    <w:tmpl w:val="2CC6EB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autoHyphenation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BEB"/>
    <w:rsid w:val="00001273"/>
    <w:rsid w:val="000259BE"/>
    <w:rsid w:val="00027144"/>
    <w:rsid w:val="00036A96"/>
    <w:rsid w:val="000415B7"/>
    <w:rsid w:val="00065F10"/>
    <w:rsid w:val="000C0653"/>
    <w:rsid w:val="001421E0"/>
    <w:rsid w:val="00165114"/>
    <w:rsid w:val="001806FC"/>
    <w:rsid w:val="001A252A"/>
    <w:rsid w:val="001C2845"/>
    <w:rsid w:val="00200A46"/>
    <w:rsid w:val="00222E20"/>
    <w:rsid w:val="002D4BF3"/>
    <w:rsid w:val="003025D0"/>
    <w:rsid w:val="00322EE8"/>
    <w:rsid w:val="003363BB"/>
    <w:rsid w:val="0033720D"/>
    <w:rsid w:val="00373999"/>
    <w:rsid w:val="00381783"/>
    <w:rsid w:val="00395A65"/>
    <w:rsid w:val="003B42C3"/>
    <w:rsid w:val="004004F6"/>
    <w:rsid w:val="00432E6A"/>
    <w:rsid w:val="00441C83"/>
    <w:rsid w:val="004A71B4"/>
    <w:rsid w:val="004B451A"/>
    <w:rsid w:val="004F2C2B"/>
    <w:rsid w:val="004F386F"/>
    <w:rsid w:val="0051451E"/>
    <w:rsid w:val="00545A9B"/>
    <w:rsid w:val="0055145B"/>
    <w:rsid w:val="00597F3D"/>
    <w:rsid w:val="005C2732"/>
    <w:rsid w:val="005F5B8B"/>
    <w:rsid w:val="00672910"/>
    <w:rsid w:val="006856D8"/>
    <w:rsid w:val="00686472"/>
    <w:rsid w:val="006C6719"/>
    <w:rsid w:val="006D5A54"/>
    <w:rsid w:val="006E21C6"/>
    <w:rsid w:val="00730882"/>
    <w:rsid w:val="00763769"/>
    <w:rsid w:val="0076729A"/>
    <w:rsid w:val="007832A3"/>
    <w:rsid w:val="0080440D"/>
    <w:rsid w:val="00821466"/>
    <w:rsid w:val="00843EB6"/>
    <w:rsid w:val="0084443D"/>
    <w:rsid w:val="00855884"/>
    <w:rsid w:val="00860A2D"/>
    <w:rsid w:val="00873209"/>
    <w:rsid w:val="00887179"/>
    <w:rsid w:val="00896349"/>
    <w:rsid w:val="008E2D17"/>
    <w:rsid w:val="008F45E6"/>
    <w:rsid w:val="009315C5"/>
    <w:rsid w:val="00952BEB"/>
    <w:rsid w:val="00972608"/>
    <w:rsid w:val="00995029"/>
    <w:rsid w:val="009A2566"/>
    <w:rsid w:val="009C606E"/>
    <w:rsid w:val="009D7A68"/>
    <w:rsid w:val="009F30B9"/>
    <w:rsid w:val="00A73E09"/>
    <w:rsid w:val="00AA5166"/>
    <w:rsid w:val="00AB2B20"/>
    <w:rsid w:val="00AB44AA"/>
    <w:rsid w:val="00AC1BF0"/>
    <w:rsid w:val="00AE3C3F"/>
    <w:rsid w:val="00AF205B"/>
    <w:rsid w:val="00B171E3"/>
    <w:rsid w:val="00B202FB"/>
    <w:rsid w:val="00B33C79"/>
    <w:rsid w:val="00B36AC9"/>
    <w:rsid w:val="00B757C0"/>
    <w:rsid w:val="00BA5D60"/>
    <w:rsid w:val="00BA6846"/>
    <w:rsid w:val="00BD3F37"/>
    <w:rsid w:val="00C54BDD"/>
    <w:rsid w:val="00C56506"/>
    <w:rsid w:val="00CE13E6"/>
    <w:rsid w:val="00D21259"/>
    <w:rsid w:val="00D36A87"/>
    <w:rsid w:val="00D73837"/>
    <w:rsid w:val="00D80A76"/>
    <w:rsid w:val="00D875BB"/>
    <w:rsid w:val="00D90B0F"/>
    <w:rsid w:val="00DF7C33"/>
    <w:rsid w:val="00E30C49"/>
    <w:rsid w:val="00E32A7C"/>
    <w:rsid w:val="00E334EA"/>
    <w:rsid w:val="00E55110"/>
    <w:rsid w:val="00ED6013"/>
    <w:rsid w:val="00F12C98"/>
    <w:rsid w:val="00F15F15"/>
    <w:rsid w:val="00F344C7"/>
    <w:rsid w:val="00F35986"/>
    <w:rsid w:val="00F55903"/>
    <w:rsid w:val="00FD10B1"/>
    <w:rsid w:val="00FF7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1B4"/>
    <w:pPr>
      <w:ind w:firstLine="567"/>
    </w:pPr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4443D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73999"/>
    <w:pPr>
      <w:ind w:left="720" w:firstLine="709"/>
      <w:contextualSpacing/>
    </w:pPr>
    <w:rPr>
      <w:rFonts w:cstheme="minorBidi"/>
    </w:rPr>
  </w:style>
  <w:style w:type="paragraph" w:styleId="a5">
    <w:name w:val="Balloon Text"/>
    <w:basedOn w:val="a"/>
    <w:link w:val="a6"/>
    <w:uiPriority w:val="99"/>
    <w:semiHidden/>
    <w:unhideWhenUsed/>
    <w:rsid w:val="00E334E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334EA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nhideWhenUsed/>
    <w:rsid w:val="00441C83"/>
    <w:pPr>
      <w:spacing w:line="240" w:lineRule="auto"/>
      <w:ind w:firstLine="0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rsid w:val="00441C83"/>
    <w:rPr>
      <w:rFonts w:cs="Times New Roman"/>
      <w:sz w:val="20"/>
      <w:szCs w:val="20"/>
    </w:rPr>
  </w:style>
  <w:style w:type="character" w:styleId="a9">
    <w:name w:val="footnote reference"/>
    <w:basedOn w:val="a0"/>
    <w:unhideWhenUsed/>
    <w:rsid w:val="00441C8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1B4"/>
    <w:pPr>
      <w:ind w:firstLine="567"/>
    </w:pPr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4443D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73999"/>
    <w:pPr>
      <w:ind w:left="720" w:firstLine="709"/>
      <w:contextualSpacing/>
    </w:pPr>
    <w:rPr>
      <w:rFonts w:cstheme="minorBidi"/>
    </w:rPr>
  </w:style>
  <w:style w:type="paragraph" w:styleId="a5">
    <w:name w:val="Balloon Text"/>
    <w:basedOn w:val="a"/>
    <w:link w:val="a6"/>
    <w:uiPriority w:val="99"/>
    <w:semiHidden/>
    <w:unhideWhenUsed/>
    <w:rsid w:val="00E334E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334EA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nhideWhenUsed/>
    <w:rsid w:val="00441C83"/>
    <w:pPr>
      <w:spacing w:line="240" w:lineRule="auto"/>
      <w:ind w:firstLine="0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rsid w:val="00441C83"/>
    <w:rPr>
      <w:rFonts w:cs="Times New Roman"/>
      <w:sz w:val="20"/>
      <w:szCs w:val="20"/>
    </w:rPr>
  </w:style>
  <w:style w:type="character" w:styleId="a9">
    <w:name w:val="footnote reference"/>
    <w:basedOn w:val="a0"/>
    <w:unhideWhenUsed/>
    <w:rsid w:val="00441C8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6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68828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4576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59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5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3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5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3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7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7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7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6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7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3.xml"/><Relationship Id="rId18" Type="http://schemas.openxmlformats.org/officeDocument/2006/relationships/chart" Target="charts/chart8.xml"/><Relationship Id="rId26" Type="http://schemas.openxmlformats.org/officeDocument/2006/relationships/chart" Target="charts/chart16.xml"/><Relationship Id="rId3" Type="http://schemas.openxmlformats.org/officeDocument/2006/relationships/styles" Target="styles.xml"/><Relationship Id="rId21" Type="http://schemas.openxmlformats.org/officeDocument/2006/relationships/chart" Target="charts/chart11.xml"/><Relationship Id="rId7" Type="http://schemas.openxmlformats.org/officeDocument/2006/relationships/footnotes" Target="footnotes.xml"/><Relationship Id="rId12" Type="http://schemas.openxmlformats.org/officeDocument/2006/relationships/chart" Target="charts/chart2.xml"/><Relationship Id="rId17" Type="http://schemas.openxmlformats.org/officeDocument/2006/relationships/chart" Target="charts/chart7.xml"/><Relationship Id="rId25" Type="http://schemas.openxmlformats.org/officeDocument/2006/relationships/chart" Target="charts/chart15.xml"/><Relationship Id="rId2" Type="http://schemas.openxmlformats.org/officeDocument/2006/relationships/numbering" Target="numbering.xml"/><Relationship Id="rId16" Type="http://schemas.openxmlformats.org/officeDocument/2006/relationships/chart" Target="charts/chart6.xml"/><Relationship Id="rId20" Type="http://schemas.openxmlformats.org/officeDocument/2006/relationships/chart" Target="charts/chart10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1.xml"/><Relationship Id="rId24" Type="http://schemas.openxmlformats.org/officeDocument/2006/relationships/chart" Target="charts/chart14.xml"/><Relationship Id="rId5" Type="http://schemas.openxmlformats.org/officeDocument/2006/relationships/settings" Target="settings.xml"/><Relationship Id="rId15" Type="http://schemas.openxmlformats.org/officeDocument/2006/relationships/chart" Target="charts/chart5.xml"/><Relationship Id="rId23" Type="http://schemas.openxmlformats.org/officeDocument/2006/relationships/chart" Target="charts/chart13.xml"/><Relationship Id="rId28" Type="http://schemas.openxmlformats.org/officeDocument/2006/relationships/chart" Target="charts/chart18.xml"/><Relationship Id="rId10" Type="http://schemas.openxmlformats.org/officeDocument/2006/relationships/oleObject" Target="embeddings/oleObject1.bin"/><Relationship Id="rId19" Type="http://schemas.openxmlformats.org/officeDocument/2006/relationships/chart" Target="charts/chart9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chart" Target="charts/chart4.xml"/><Relationship Id="rId22" Type="http://schemas.openxmlformats.org/officeDocument/2006/relationships/chart" Target="charts/chart12.xml"/><Relationship Id="rId27" Type="http://schemas.openxmlformats.org/officeDocument/2006/relationships/chart" Target="charts/chart17.xml"/><Relationship Id="rId30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vl\Downloads\tab3a%20(1).xls" TargetMode="External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9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0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1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1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1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2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15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3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16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4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17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5.xml"/><Relationship Id="rId1" Type="http://schemas.openxmlformats.org/officeDocument/2006/relationships/oleObject" Target="file:///C:\Users\mas\Downloads\&#1052;&#1086;&#1085;&#1080;&#1090;&#1086;&#1088;&#1080;&#1085;&#1075;%20&#1087;&#1077;&#1088;&#1077;&#1084;&#1077;&#1085;_&#1074;&#1089;&#1077;%20&#1075;&#1088;&#1072;&#1092;&#1080;&#1082;&#1080;%2024%20&#1084;&#1072;&#1088;&#1090;&#1072;%2019.xlsx" TargetMode="External"/></Relationships>
</file>

<file path=word/charts/_rels/chart18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6.xml"/><Relationship Id="rId1" Type="http://schemas.openxmlformats.org/officeDocument/2006/relationships/oleObject" Target="file:///C:\Users\mas\Downloads\&#1052;&#1086;&#1085;&#1080;&#1090;&#1086;&#1088;&#1080;&#1085;&#1075;%20&#1087;&#1077;&#1088;&#1077;&#1084;&#1077;&#1085;_&#1074;&#1089;&#1077;%20&#1075;&#1088;&#1072;&#1092;&#1080;&#1082;&#1080;%2024%20&#1084;&#1072;&#1088;&#1090;&#1072;%2019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evl\Downloads\ind_prom_sub%20(1).xls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5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6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7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8.xml"/><Relationship Id="rId1" Type="http://schemas.openxmlformats.org/officeDocument/2006/relationships/oleObject" Target="file:///C:\Users\evl\Desktop\&#1052;&#1086;&#1085;&#1080;&#1090;&#1086;&#1088;&#1080;&#1085;&#1075;%20&#1087;&#1077;&#1088;&#1077;&#1084;&#1077;&#1085;\&#1052;&#1086;&#1085;&#1080;&#1090;&#1086;&#1088;&#1080;&#1085;&#1075;%20&#1087;&#1077;&#1088;&#1077;&#1084;&#1077;&#1085;_&#1052;&#1054;&#1049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'[tab3a (1).xls]Таблица3а'!$K$13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>
                <c:manualLayout>
                  <c:x val="-2.0354512697237539E-3"/>
                  <c:y val="-3.679768819654143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#,##0.0" sourceLinked="0"/>
            <c:dLblPos val="r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'[tab3a (1).xls]Таблица3а'!$O$4:$X$4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'[tab3a (1).xls]Таблица3а'!$O$11:$X$11</c:f>
              <c:numCache>
                <c:formatCode>0</c:formatCode>
                <c:ptCount val="10"/>
                <c:pt idx="0">
                  <c:v>92.179114973159642</c:v>
                </c:pt>
                <c:pt idx="1">
                  <c:v>96.330609395652218</c:v>
                </c:pt>
                <c:pt idx="2">
                  <c:v>100.43831666641863</c:v>
                </c:pt>
                <c:pt idx="3">
                  <c:v>104.11024266538506</c:v>
                </c:pt>
                <c:pt idx="4">
                  <c:v>105.96897956872044</c:v>
                </c:pt>
                <c:pt idx="5">
                  <c:v>106.75166727127421</c:v>
                </c:pt>
                <c:pt idx="6">
                  <c:v>104.04197177452966</c:v>
                </c:pt>
                <c:pt idx="7">
                  <c:v>104.3424284629876</c:v>
                </c:pt>
                <c:pt idx="8">
                  <c:v>106.06082688103797</c:v>
                </c:pt>
                <c:pt idx="9">
                  <c:v>108.47240770329053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'[tab3a (1).xls]Таблица3а'!$K$14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8"/>
              <c:layout/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#,##0.0" sourceLinked="0"/>
            <c:dLblPos val="r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'[tab3a (1).xls]Таблица3а'!$O$4:$X$4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'[tab3a (1).xls]Таблица3а'!$O$14:$X$14</c:f>
              <c:numCache>
                <c:formatCode>0</c:formatCode>
                <c:ptCount val="10"/>
                <c:pt idx="0">
                  <c:v>87.1</c:v>
                </c:pt>
                <c:pt idx="1">
                  <c:v>92.064700000000002</c:v>
                </c:pt>
                <c:pt idx="2">
                  <c:v>98.41716430000001</c:v>
                </c:pt>
                <c:pt idx="3">
                  <c:v>103.14118818640002</c:v>
                </c:pt>
                <c:pt idx="4">
                  <c:v>98.706117094384808</c:v>
                </c:pt>
                <c:pt idx="5">
                  <c:v>101.66730060721635</c:v>
                </c:pt>
                <c:pt idx="6">
                  <c:v>102.98897551511014</c:v>
                </c:pt>
                <c:pt idx="7">
                  <c:v>103.09196449062526</c:v>
                </c:pt>
                <c:pt idx="8">
                  <c:v>103.710516277569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7979520"/>
        <c:axId val="107981056"/>
      </c:lineChart>
      <c:catAx>
        <c:axId val="107979520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General" sourceLinked="1"/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07981056"/>
        <c:crosses val="autoZero"/>
        <c:auto val="1"/>
        <c:lblAlgn val="ctr"/>
        <c:lblOffset val="100"/>
        <c:noMultiLvlLbl val="0"/>
      </c:catAx>
      <c:valAx>
        <c:axId val="107981056"/>
        <c:scaling>
          <c:orientation val="minMax"/>
          <c:min val="85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1"/>
        <c:majorTickMark val="out"/>
        <c:minorTickMark val="none"/>
        <c:tickLblPos val="nextTo"/>
        <c:crossAx val="10797952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84509324774074124"/>
          <c:y val="0.57335137795275593"/>
          <c:w val="0.11574984373282587"/>
          <c:h val="0.177863376620074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ИСХОДНЫЕ!$B$1510:$K$1510</c:f>
              <c:numCache>
                <c:formatCode>0.0</c:formatCode>
                <c:ptCount val="10"/>
                <c:pt idx="0">
                  <c:v>66.8</c:v>
                </c:pt>
                <c:pt idx="1">
                  <c:v>76.485999999999976</c:v>
                </c:pt>
                <c:pt idx="2">
                  <c:v>82.145963999999978</c:v>
                </c:pt>
                <c:pt idx="3">
                  <c:v>90.93558214799998</c:v>
                </c:pt>
                <c:pt idx="4">
                  <c:v>89.116870505039998</c:v>
                </c:pt>
                <c:pt idx="5">
                  <c:v>90.720974174130703</c:v>
                </c:pt>
                <c:pt idx="6">
                  <c:v>83.644738188548516</c:v>
                </c:pt>
                <c:pt idx="7">
                  <c:v>78.124185468104315</c:v>
                </c:pt>
                <c:pt idx="8">
                  <c:v>86.874094240532003</c:v>
                </c:pt>
                <c:pt idx="9">
                  <c:v>90.696554387115427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ИСХОДНЫЕ!$B$1511:$K$1511</c:f>
              <c:numCache>
                <c:formatCode>0.0</c:formatCode>
                <c:ptCount val="10"/>
                <c:pt idx="0">
                  <c:v>52.399999999999991</c:v>
                </c:pt>
                <c:pt idx="1">
                  <c:v>74.198399999999992</c:v>
                </c:pt>
                <c:pt idx="2">
                  <c:v>78.947097600000021</c:v>
                </c:pt>
                <c:pt idx="3">
                  <c:v>75.868160793600012</c:v>
                </c:pt>
                <c:pt idx="4">
                  <c:v>70.709125859635222</c:v>
                </c:pt>
                <c:pt idx="5">
                  <c:v>68.517142957986536</c:v>
                </c:pt>
                <c:pt idx="6">
                  <c:v>62.967254378389626</c:v>
                </c:pt>
                <c:pt idx="7">
                  <c:v>57.426135993091343</c:v>
                </c:pt>
                <c:pt idx="8">
                  <c:v>52.315209889706203</c:v>
                </c:pt>
                <c:pt idx="9">
                  <c:v>49.385558135882668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536448"/>
        <c:axId val="116537984"/>
      </c:lineChart>
      <c:catAx>
        <c:axId val="116536448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537984"/>
        <c:crosses val="autoZero"/>
        <c:auto val="1"/>
        <c:lblAlgn val="ctr"/>
        <c:lblOffset val="100"/>
        <c:noMultiLvlLbl val="0"/>
      </c:catAx>
      <c:valAx>
        <c:axId val="116537984"/>
        <c:scaling>
          <c:orientation val="minMax"/>
          <c:max val="100"/>
          <c:min val="4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53644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6.7932670359048819E-2"/>
          <c:y val="8.8773971297942594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ИСХОДНЫЕ!$C$1593:$L$1593</c:f>
              <c:numCache>
                <c:formatCode>0.0</c:formatCode>
                <c:ptCount val="10"/>
                <c:pt idx="0">
                  <c:v>101.4</c:v>
                </c:pt>
                <c:pt idx="1">
                  <c:v>89.941800000000001</c:v>
                </c:pt>
                <c:pt idx="2">
                  <c:v>110.62841400000001</c:v>
                </c:pt>
                <c:pt idx="3">
                  <c:v>105.31825012800002</c:v>
                </c:pt>
                <c:pt idx="4">
                  <c:v>111.42670863542402</c:v>
                </c:pt>
                <c:pt idx="5">
                  <c:v>115.32664343766385</c:v>
                </c:pt>
                <c:pt idx="6">
                  <c:v>118.32513616704311</c:v>
                </c:pt>
                <c:pt idx="7">
                  <c:v>124.00474270306118</c:v>
                </c:pt>
                <c:pt idx="8">
                  <c:v>126.98085652793466</c:v>
                </c:pt>
                <c:pt idx="9">
                  <c:v>126.21897138876707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ИСХОДНЫЕ!$C$1594:$L$1594</c:f>
              <c:numCache>
                <c:formatCode>0.0</c:formatCode>
                <c:ptCount val="10"/>
                <c:pt idx="0">
                  <c:v>97.7</c:v>
                </c:pt>
                <c:pt idx="1">
                  <c:v>90.372500000000002</c:v>
                </c:pt>
                <c:pt idx="2">
                  <c:v>99.951984999999993</c:v>
                </c:pt>
                <c:pt idx="3">
                  <c:v>94.95438575</c:v>
                </c:pt>
                <c:pt idx="4">
                  <c:v>88.592441904750004</c:v>
                </c:pt>
                <c:pt idx="5">
                  <c:v>86.99777795046451</c:v>
                </c:pt>
                <c:pt idx="6">
                  <c:v>90.651684624384018</c:v>
                </c:pt>
                <c:pt idx="7">
                  <c:v>96.725347494217758</c:v>
                </c:pt>
                <c:pt idx="8">
                  <c:v>85.505207184888505</c:v>
                </c:pt>
                <c:pt idx="9">
                  <c:v>90.379003994427151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585600"/>
        <c:axId val="116587136"/>
      </c:lineChart>
      <c:catAx>
        <c:axId val="116585600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587136"/>
        <c:crosses val="autoZero"/>
        <c:auto val="1"/>
        <c:lblAlgn val="ctr"/>
        <c:lblOffset val="100"/>
        <c:noMultiLvlLbl val="0"/>
      </c:catAx>
      <c:valAx>
        <c:axId val="116587136"/>
        <c:scaling>
          <c:orientation val="minMax"/>
          <c:max val="130"/>
          <c:min val="8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585600"/>
        <c:crosses val="autoZero"/>
        <c:crossBetween val="between"/>
        <c:majorUnit val="10"/>
      </c:valAx>
    </c:plotArea>
    <c:legend>
      <c:legendPos val="r"/>
      <c:layout>
        <c:manualLayout>
          <c:xMode val="edge"/>
          <c:yMode val="edge"/>
          <c:x val="9.2813560012631025E-2"/>
          <c:y val="8.4249984124968244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ИСХОДНЫЕ!$A$1135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ИСХОДНЫЕ!$C$1135:$L$1135</c:f>
              <c:numCache>
                <c:formatCode>0.0</c:formatCode>
                <c:ptCount val="10"/>
                <c:pt idx="0">
                  <c:v>101.8</c:v>
                </c:pt>
                <c:pt idx="1">
                  <c:v>107.2972</c:v>
                </c:pt>
                <c:pt idx="2">
                  <c:v>108.58476640000001</c:v>
                </c:pt>
                <c:pt idx="3">
                  <c:v>114.8826828512</c:v>
                </c:pt>
                <c:pt idx="4">
                  <c:v>120.3970516280576</c:v>
                </c:pt>
                <c:pt idx="5">
                  <c:v>119.79506636991732</c:v>
                </c:pt>
                <c:pt idx="6">
                  <c:v>114.88346864875072</c:v>
                </c:pt>
                <c:pt idx="7">
                  <c:v>108.56487787306943</c:v>
                </c:pt>
                <c:pt idx="8">
                  <c:v>107.15353446071953</c:v>
                </c:pt>
                <c:pt idx="9">
                  <c:v>108.11791627086602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ИСХОДНЫЕ!$A$1136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b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ИСХОДНЫЕ!$C$1136:$L$1136</c:f>
              <c:numCache>
                <c:formatCode>0.0</c:formatCode>
                <c:ptCount val="10"/>
                <c:pt idx="0">
                  <c:v>90</c:v>
                </c:pt>
                <c:pt idx="1">
                  <c:v>97.38000000000001</c:v>
                </c:pt>
                <c:pt idx="2">
                  <c:v>98.159040000000005</c:v>
                </c:pt>
                <c:pt idx="3">
                  <c:v>108.56389824</c:v>
                </c:pt>
                <c:pt idx="4">
                  <c:v>114.64347654143998</c:v>
                </c:pt>
                <c:pt idx="5">
                  <c:v>117.39491997843454</c:v>
                </c:pt>
                <c:pt idx="6">
                  <c:v>114.10786221903838</c:v>
                </c:pt>
                <c:pt idx="7">
                  <c:v>113.76553863238128</c:v>
                </c:pt>
                <c:pt idx="8">
                  <c:v>106.48454415990888</c:v>
                </c:pt>
                <c:pt idx="9">
                  <c:v>103.50297692343145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630272"/>
        <c:axId val="116631808"/>
      </c:lineChart>
      <c:catAx>
        <c:axId val="116630272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631808"/>
        <c:crosses val="autoZero"/>
        <c:auto val="1"/>
        <c:lblAlgn val="ctr"/>
        <c:lblOffset val="100"/>
        <c:noMultiLvlLbl val="0"/>
      </c:catAx>
      <c:valAx>
        <c:axId val="116631808"/>
        <c:scaling>
          <c:orientation val="minMax"/>
          <c:max val="130"/>
          <c:min val="8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630272"/>
        <c:crosses val="autoZero"/>
        <c:crossBetween val="between"/>
        <c:majorUnit val="10"/>
      </c:valAx>
    </c:plotArea>
    <c:legend>
      <c:legendPos val="r"/>
      <c:layout>
        <c:manualLayout>
          <c:xMode val="edge"/>
          <c:yMode val="edge"/>
          <c:x val="5.3445954235283671E-2"/>
          <c:y val="6.3271129667259313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2326524234084851"/>
          <c:y val="4.7897474747474744E-2"/>
          <c:w val="0.82542152462474716"/>
          <c:h val="0.7328932010504815"/>
        </c:manualLayout>
      </c:layout>
      <c:lineChart>
        <c:grouping val="standard"/>
        <c:varyColors val="0"/>
        <c:ser>
          <c:idx val="2"/>
          <c:order val="0"/>
          <c:tx>
            <c:strRef>
              <c:f>ИСХОДНЫЕ!$A$668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120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ИСХОДНЫЕ!$N$912:$ED$912</c:f>
              <c:numCache>
                <c:formatCode>mmm\-yy</c:formatCode>
                <c:ptCount val="121"/>
                <c:pt idx="0">
                  <c:v>39814</c:v>
                </c:pt>
                <c:pt idx="1">
                  <c:v>39845</c:v>
                </c:pt>
                <c:pt idx="2">
                  <c:v>39873</c:v>
                </c:pt>
                <c:pt idx="3">
                  <c:v>39904</c:v>
                </c:pt>
                <c:pt idx="4">
                  <c:v>39934</c:v>
                </c:pt>
                <c:pt idx="5">
                  <c:v>39965</c:v>
                </c:pt>
                <c:pt idx="6">
                  <c:v>39995</c:v>
                </c:pt>
                <c:pt idx="7">
                  <c:v>40026</c:v>
                </c:pt>
                <c:pt idx="8">
                  <c:v>40057</c:v>
                </c:pt>
                <c:pt idx="9">
                  <c:v>40087</c:v>
                </c:pt>
                <c:pt idx="10">
                  <c:v>40118</c:v>
                </c:pt>
                <c:pt idx="11">
                  <c:v>40148</c:v>
                </c:pt>
                <c:pt idx="12">
                  <c:v>40179</c:v>
                </c:pt>
                <c:pt idx="13">
                  <c:v>40210</c:v>
                </c:pt>
                <c:pt idx="14">
                  <c:v>40238</c:v>
                </c:pt>
                <c:pt idx="15">
                  <c:v>40269</c:v>
                </c:pt>
                <c:pt idx="16">
                  <c:v>40299</c:v>
                </c:pt>
                <c:pt idx="17">
                  <c:v>40330</c:v>
                </c:pt>
                <c:pt idx="18">
                  <c:v>40360</c:v>
                </c:pt>
                <c:pt idx="19">
                  <c:v>40391</c:v>
                </c:pt>
                <c:pt idx="20">
                  <c:v>40422</c:v>
                </c:pt>
                <c:pt idx="21">
                  <c:v>40452</c:v>
                </c:pt>
                <c:pt idx="22">
                  <c:v>40483</c:v>
                </c:pt>
                <c:pt idx="23">
                  <c:v>40513</c:v>
                </c:pt>
                <c:pt idx="24">
                  <c:v>40544</c:v>
                </c:pt>
                <c:pt idx="25">
                  <c:v>40575</c:v>
                </c:pt>
                <c:pt idx="26">
                  <c:v>40603</c:v>
                </c:pt>
                <c:pt idx="27">
                  <c:v>40634</c:v>
                </c:pt>
                <c:pt idx="28">
                  <c:v>40664</c:v>
                </c:pt>
                <c:pt idx="29">
                  <c:v>40695</c:v>
                </c:pt>
                <c:pt idx="30">
                  <c:v>40725</c:v>
                </c:pt>
                <c:pt idx="31">
                  <c:v>40756</c:v>
                </c:pt>
                <c:pt idx="32">
                  <c:v>40787</c:v>
                </c:pt>
                <c:pt idx="33">
                  <c:v>40817</c:v>
                </c:pt>
                <c:pt idx="34">
                  <c:v>40848</c:v>
                </c:pt>
                <c:pt idx="35">
                  <c:v>40878</c:v>
                </c:pt>
                <c:pt idx="36">
                  <c:v>40909</c:v>
                </c:pt>
                <c:pt idx="37">
                  <c:v>40940</c:v>
                </c:pt>
                <c:pt idx="38">
                  <c:v>40969</c:v>
                </c:pt>
                <c:pt idx="39">
                  <c:v>41000</c:v>
                </c:pt>
                <c:pt idx="40">
                  <c:v>41030</c:v>
                </c:pt>
                <c:pt idx="41">
                  <c:v>41061</c:v>
                </c:pt>
                <c:pt idx="42">
                  <c:v>41091</c:v>
                </c:pt>
                <c:pt idx="43">
                  <c:v>41122</c:v>
                </c:pt>
                <c:pt idx="44">
                  <c:v>41153</c:v>
                </c:pt>
                <c:pt idx="45">
                  <c:v>41183</c:v>
                </c:pt>
                <c:pt idx="46">
                  <c:v>41214</c:v>
                </c:pt>
                <c:pt idx="47">
                  <c:v>41244</c:v>
                </c:pt>
                <c:pt idx="48">
                  <c:v>41275</c:v>
                </c:pt>
                <c:pt idx="49">
                  <c:v>41306</c:v>
                </c:pt>
                <c:pt idx="50">
                  <c:v>41334</c:v>
                </c:pt>
                <c:pt idx="51">
                  <c:v>41365</c:v>
                </c:pt>
                <c:pt idx="52">
                  <c:v>41395</c:v>
                </c:pt>
                <c:pt idx="53">
                  <c:v>41426</c:v>
                </c:pt>
                <c:pt idx="54">
                  <c:v>41456</c:v>
                </c:pt>
                <c:pt idx="55">
                  <c:v>41487</c:v>
                </c:pt>
                <c:pt idx="56">
                  <c:v>41518</c:v>
                </c:pt>
                <c:pt idx="57">
                  <c:v>41548</c:v>
                </c:pt>
                <c:pt idx="58">
                  <c:v>41579</c:v>
                </c:pt>
                <c:pt idx="59">
                  <c:v>41609</c:v>
                </c:pt>
                <c:pt idx="60">
                  <c:v>41640</c:v>
                </c:pt>
                <c:pt idx="61">
                  <c:v>41671</c:v>
                </c:pt>
                <c:pt idx="62">
                  <c:v>41699</c:v>
                </c:pt>
                <c:pt idx="63">
                  <c:v>41730</c:v>
                </c:pt>
                <c:pt idx="64">
                  <c:v>41760</c:v>
                </c:pt>
                <c:pt idx="65">
                  <c:v>41791</c:v>
                </c:pt>
                <c:pt idx="66">
                  <c:v>41821</c:v>
                </c:pt>
                <c:pt idx="67">
                  <c:v>41852</c:v>
                </c:pt>
                <c:pt idx="68">
                  <c:v>41883</c:v>
                </c:pt>
                <c:pt idx="69">
                  <c:v>41913</c:v>
                </c:pt>
                <c:pt idx="70">
                  <c:v>41944</c:v>
                </c:pt>
                <c:pt idx="71">
                  <c:v>41974</c:v>
                </c:pt>
                <c:pt idx="72">
                  <c:v>42005</c:v>
                </c:pt>
                <c:pt idx="73">
                  <c:v>42036</c:v>
                </c:pt>
                <c:pt idx="74">
                  <c:v>42064</c:v>
                </c:pt>
                <c:pt idx="75">
                  <c:v>42095</c:v>
                </c:pt>
                <c:pt idx="76">
                  <c:v>42125</c:v>
                </c:pt>
                <c:pt idx="77">
                  <c:v>42156</c:v>
                </c:pt>
                <c:pt idx="78">
                  <c:v>42186</c:v>
                </c:pt>
                <c:pt idx="79">
                  <c:v>42217</c:v>
                </c:pt>
                <c:pt idx="80">
                  <c:v>42248</c:v>
                </c:pt>
                <c:pt idx="81">
                  <c:v>42278</c:v>
                </c:pt>
                <c:pt idx="82">
                  <c:v>42309</c:v>
                </c:pt>
                <c:pt idx="83">
                  <c:v>42339</c:v>
                </c:pt>
                <c:pt idx="84">
                  <c:v>42370</c:v>
                </c:pt>
                <c:pt idx="85">
                  <c:v>42401</c:v>
                </c:pt>
                <c:pt idx="86">
                  <c:v>42430</c:v>
                </c:pt>
                <c:pt idx="87">
                  <c:v>42461</c:v>
                </c:pt>
                <c:pt idx="88">
                  <c:v>42491</c:v>
                </c:pt>
                <c:pt idx="89">
                  <c:v>42522</c:v>
                </c:pt>
                <c:pt idx="90">
                  <c:v>42552</c:v>
                </c:pt>
                <c:pt idx="91">
                  <c:v>42583</c:v>
                </c:pt>
                <c:pt idx="92">
                  <c:v>42614</c:v>
                </c:pt>
                <c:pt idx="93">
                  <c:v>42644</c:v>
                </c:pt>
                <c:pt idx="94">
                  <c:v>42675</c:v>
                </c:pt>
                <c:pt idx="95">
                  <c:v>42705</c:v>
                </c:pt>
                <c:pt idx="96">
                  <c:v>42736</c:v>
                </c:pt>
                <c:pt idx="97">
                  <c:v>42767</c:v>
                </c:pt>
                <c:pt idx="98">
                  <c:v>42795</c:v>
                </c:pt>
                <c:pt idx="99">
                  <c:v>42826</c:v>
                </c:pt>
                <c:pt idx="100">
                  <c:v>42856</c:v>
                </c:pt>
                <c:pt idx="101">
                  <c:v>42887</c:v>
                </c:pt>
                <c:pt idx="102">
                  <c:v>42917</c:v>
                </c:pt>
                <c:pt idx="103">
                  <c:v>42948</c:v>
                </c:pt>
                <c:pt idx="104">
                  <c:v>42979</c:v>
                </c:pt>
                <c:pt idx="105">
                  <c:v>43009</c:v>
                </c:pt>
                <c:pt idx="106">
                  <c:v>43040</c:v>
                </c:pt>
                <c:pt idx="107">
                  <c:v>43070</c:v>
                </c:pt>
                <c:pt idx="108">
                  <c:v>43101</c:v>
                </c:pt>
                <c:pt idx="109">
                  <c:v>43132</c:v>
                </c:pt>
                <c:pt idx="110">
                  <c:v>43160</c:v>
                </c:pt>
                <c:pt idx="111">
                  <c:v>43191</c:v>
                </c:pt>
                <c:pt idx="112">
                  <c:v>43221</c:v>
                </c:pt>
                <c:pt idx="113">
                  <c:v>43252</c:v>
                </c:pt>
                <c:pt idx="114">
                  <c:v>43282</c:v>
                </c:pt>
                <c:pt idx="115">
                  <c:v>43313</c:v>
                </c:pt>
                <c:pt idx="116">
                  <c:v>43344</c:v>
                </c:pt>
                <c:pt idx="117">
                  <c:v>43374</c:v>
                </c:pt>
                <c:pt idx="118">
                  <c:v>43405</c:v>
                </c:pt>
                <c:pt idx="119">
                  <c:v>43435</c:v>
                </c:pt>
                <c:pt idx="120">
                  <c:v>43466</c:v>
                </c:pt>
              </c:numCache>
            </c:numRef>
          </c:cat>
          <c:val>
            <c:numRef>
              <c:f>ИСХОДНЫЕ!$N$758:$ED$758</c:f>
              <c:numCache>
                <c:formatCode>0.0</c:formatCode>
                <c:ptCount val="121"/>
                <c:pt idx="0">
                  <c:v>83.4905331799702</c:v>
                </c:pt>
                <c:pt idx="1">
                  <c:v>83.853198350684906</c:v>
                </c:pt>
                <c:pt idx="2">
                  <c:v>84.495649242392702</c:v>
                </c:pt>
                <c:pt idx="3">
                  <c:v>85.0490060832864</c:v>
                </c:pt>
                <c:pt idx="4">
                  <c:v>85.704654828204994</c:v>
                </c:pt>
                <c:pt idx="5">
                  <c:v>86.499717006309993</c:v>
                </c:pt>
                <c:pt idx="6">
                  <c:v>87.456178927987395</c:v>
                </c:pt>
                <c:pt idx="7">
                  <c:v>88.504177839556604</c:v>
                </c:pt>
                <c:pt idx="8">
                  <c:v>89.580286946326794</c:v>
                </c:pt>
                <c:pt idx="9">
                  <c:v>90.585825747852496</c:v>
                </c:pt>
                <c:pt idx="10">
                  <c:v>91.518573517303906</c:v>
                </c:pt>
                <c:pt idx="11">
                  <c:v>92.305401651329305</c:v>
                </c:pt>
                <c:pt idx="12">
                  <c:v>92.918877991331797</c:v>
                </c:pt>
                <c:pt idx="13">
                  <c:v>93.352181539441801</c:v>
                </c:pt>
                <c:pt idx="14">
                  <c:v>93.616840151907297</c:v>
                </c:pt>
                <c:pt idx="15">
                  <c:v>93.688789981828407</c:v>
                </c:pt>
                <c:pt idx="16">
                  <c:v>93.563654161333602</c:v>
                </c:pt>
                <c:pt idx="17">
                  <c:v>93.270302910082194</c:v>
                </c:pt>
                <c:pt idx="18">
                  <c:v>92.856316591446301</c:v>
                </c:pt>
                <c:pt idx="19">
                  <c:v>92.424063307528797</c:v>
                </c:pt>
                <c:pt idx="20">
                  <c:v>92.108243258042506</c:v>
                </c:pt>
                <c:pt idx="21">
                  <c:v>92.042918405003803</c:v>
                </c:pt>
                <c:pt idx="22">
                  <c:v>92.381341919857206</c:v>
                </c:pt>
                <c:pt idx="23">
                  <c:v>93.082921970149798</c:v>
                </c:pt>
                <c:pt idx="24">
                  <c:v>94.135587734458397</c:v>
                </c:pt>
                <c:pt idx="25">
                  <c:v>95.494724719841599</c:v>
                </c:pt>
                <c:pt idx="26">
                  <c:v>97.014411270030195</c:v>
                </c:pt>
                <c:pt idx="27">
                  <c:v>98.524550303283505</c:v>
                </c:pt>
                <c:pt idx="28">
                  <c:v>99.870019272185502</c:v>
                </c:pt>
                <c:pt idx="29">
                  <c:v>100.93497255672899</c:v>
                </c:pt>
                <c:pt idx="30">
                  <c:v>101.617139654962</c:v>
                </c:pt>
                <c:pt idx="31">
                  <c:v>101.971548944239</c:v>
                </c:pt>
                <c:pt idx="32">
                  <c:v>102.145603204895</c:v>
                </c:pt>
                <c:pt idx="33">
                  <c:v>102.31849528750899</c:v>
                </c:pt>
                <c:pt idx="34">
                  <c:v>102.501944964355</c:v>
                </c:pt>
                <c:pt idx="35">
                  <c:v>102.720227449342</c:v>
                </c:pt>
                <c:pt idx="36">
                  <c:v>102.957106793866</c:v>
                </c:pt>
                <c:pt idx="37">
                  <c:v>103.13780100789801</c:v>
                </c:pt>
                <c:pt idx="38">
                  <c:v>103.233105327058</c:v>
                </c:pt>
                <c:pt idx="39">
                  <c:v>103.25135317285</c:v>
                </c:pt>
                <c:pt idx="40">
                  <c:v>103.23783520806499</c:v>
                </c:pt>
                <c:pt idx="41">
                  <c:v>103.20383630157301</c:v>
                </c:pt>
                <c:pt idx="42">
                  <c:v>103.20420321587901</c:v>
                </c:pt>
                <c:pt idx="43">
                  <c:v>103.20095689231501</c:v>
                </c:pt>
                <c:pt idx="44">
                  <c:v>103.108431267029</c:v>
                </c:pt>
                <c:pt idx="45">
                  <c:v>102.90363612481001</c:v>
                </c:pt>
                <c:pt idx="46">
                  <c:v>102.53332197195699</c:v>
                </c:pt>
                <c:pt idx="47">
                  <c:v>101.979454211979</c:v>
                </c:pt>
                <c:pt idx="48">
                  <c:v>101.33079621492</c:v>
                </c:pt>
                <c:pt idx="49">
                  <c:v>100.624347519312</c:v>
                </c:pt>
                <c:pt idx="50">
                  <c:v>99.933887841543793</c:v>
                </c:pt>
                <c:pt idx="51">
                  <c:v>99.424690566300896</c:v>
                </c:pt>
                <c:pt idx="52">
                  <c:v>99.197240275571005</c:v>
                </c:pt>
                <c:pt idx="53">
                  <c:v>99.344715153768405</c:v>
                </c:pt>
                <c:pt idx="54">
                  <c:v>99.927176402887198</c:v>
                </c:pt>
                <c:pt idx="55">
                  <c:v>100.891172632154</c:v>
                </c:pt>
                <c:pt idx="56">
                  <c:v>102.073763298345</c:v>
                </c:pt>
                <c:pt idx="57">
                  <c:v>103.233231396062</c:v>
                </c:pt>
                <c:pt idx="58">
                  <c:v>104.15627138417599</c:v>
                </c:pt>
                <c:pt idx="59">
                  <c:v>104.79189286619901</c:v>
                </c:pt>
                <c:pt idx="60">
                  <c:v>105.071314014707</c:v>
                </c:pt>
                <c:pt idx="61">
                  <c:v>105.086327269923</c:v>
                </c:pt>
                <c:pt idx="62">
                  <c:v>104.99031472434299</c:v>
                </c:pt>
                <c:pt idx="63">
                  <c:v>104.83477063215101</c:v>
                </c:pt>
                <c:pt idx="64">
                  <c:v>104.656202347663</c:v>
                </c:pt>
                <c:pt idx="65">
                  <c:v>104.519485135054</c:v>
                </c:pt>
                <c:pt idx="66">
                  <c:v>104.41002909800901</c:v>
                </c:pt>
                <c:pt idx="67">
                  <c:v>104.229682171787</c:v>
                </c:pt>
                <c:pt idx="68">
                  <c:v>103.992211499774</c:v>
                </c:pt>
                <c:pt idx="69">
                  <c:v>103.638242624816</c:v>
                </c:pt>
                <c:pt idx="70">
                  <c:v>103.15482063719701</c:v>
                </c:pt>
                <c:pt idx="71">
                  <c:v>102.600699799678</c:v>
                </c:pt>
                <c:pt idx="72">
                  <c:v>101.943059709219</c:v>
                </c:pt>
                <c:pt idx="73">
                  <c:v>101.20581005426</c:v>
                </c:pt>
                <c:pt idx="74">
                  <c:v>100.36927673084701</c:v>
                </c:pt>
                <c:pt idx="75">
                  <c:v>99.436122199222496</c:v>
                </c:pt>
                <c:pt idx="76">
                  <c:v>98.339278472466702</c:v>
                </c:pt>
                <c:pt idx="77">
                  <c:v>97.069082549628206</c:v>
                </c:pt>
                <c:pt idx="78">
                  <c:v>95.632411301391699</c:v>
                </c:pt>
                <c:pt idx="79">
                  <c:v>94.134322787704406</c:v>
                </c:pt>
                <c:pt idx="80">
                  <c:v>92.708220108925602</c:v>
                </c:pt>
                <c:pt idx="81">
                  <c:v>91.481503432129301</c:v>
                </c:pt>
                <c:pt idx="82">
                  <c:v>90.629655326386398</c:v>
                </c:pt>
                <c:pt idx="83">
                  <c:v>90.235252633032502</c:v>
                </c:pt>
                <c:pt idx="84">
                  <c:v>90.339031732667493</c:v>
                </c:pt>
                <c:pt idx="85">
                  <c:v>90.927292560646507</c:v>
                </c:pt>
                <c:pt idx="86">
                  <c:v>91.891108866582002</c:v>
                </c:pt>
                <c:pt idx="87">
                  <c:v>93.025724695207302</c:v>
                </c:pt>
                <c:pt idx="88">
                  <c:v>94.214440529683202</c:v>
                </c:pt>
                <c:pt idx="89">
                  <c:v>95.328634360316101</c:v>
                </c:pt>
                <c:pt idx="90">
                  <c:v>96.233161022161099</c:v>
                </c:pt>
                <c:pt idx="91">
                  <c:v>96.912098866387197</c:v>
                </c:pt>
                <c:pt idx="92">
                  <c:v>97.382605942765906</c:v>
                </c:pt>
                <c:pt idx="93">
                  <c:v>97.655536196229903</c:v>
                </c:pt>
                <c:pt idx="94">
                  <c:v>97.808272155533402</c:v>
                </c:pt>
                <c:pt idx="95">
                  <c:v>97.869551379971597</c:v>
                </c:pt>
                <c:pt idx="96">
                  <c:v>97.902828551421194</c:v>
                </c:pt>
                <c:pt idx="97">
                  <c:v>97.939752965077005</c:v>
                </c:pt>
                <c:pt idx="98">
                  <c:v>97.966886434678997</c:v>
                </c:pt>
                <c:pt idx="99">
                  <c:v>98.043464997939594</c:v>
                </c:pt>
                <c:pt idx="100">
                  <c:v>98.245892833111995</c:v>
                </c:pt>
                <c:pt idx="101">
                  <c:v>98.579927682539605</c:v>
                </c:pt>
                <c:pt idx="102">
                  <c:v>99.070037316998594</c:v>
                </c:pt>
                <c:pt idx="103">
                  <c:v>99.686362464213303</c:v>
                </c:pt>
                <c:pt idx="104">
                  <c:v>100.39085796098099</c:v>
                </c:pt>
                <c:pt idx="105">
                  <c:v>101.239008364483</c:v>
                </c:pt>
                <c:pt idx="106">
                  <c:v>102.19482838802401</c:v>
                </c:pt>
                <c:pt idx="107">
                  <c:v>103.209495533184</c:v>
                </c:pt>
                <c:pt idx="108">
                  <c:v>104.263898792145</c:v>
                </c:pt>
                <c:pt idx="109">
                  <c:v>105.335977384785</c:v>
                </c:pt>
                <c:pt idx="110">
                  <c:v>106.41370082881799</c:v>
                </c:pt>
                <c:pt idx="111">
                  <c:v>107.523893790221</c:v>
                </c:pt>
                <c:pt idx="112">
                  <c:v>108.725773671974</c:v>
                </c:pt>
                <c:pt idx="113">
                  <c:v>110.006580901916</c:v>
                </c:pt>
                <c:pt idx="114">
                  <c:v>111.32207712827601</c:v>
                </c:pt>
                <c:pt idx="115">
                  <c:v>112.611148776505</c:v>
                </c:pt>
                <c:pt idx="116">
                  <c:v>113.77666128270801</c:v>
                </c:pt>
                <c:pt idx="117">
                  <c:v>114.74514942700399</c:v>
                </c:pt>
                <c:pt idx="118">
                  <c:v>115.472094558039</c:v>
                </c:pt>
                <c:pt idx="119">
                  <c:v>115.97290061827999</c:v>
                </c:pt>
                <c:pt idx="120">
                  <c:v>116.278715308589</c:v>
                </c:pt>
              </c:numCache>
            </c:numRef>
          </c:val>
          <c:smooth val="1"/>
        </c:ser>
        <c:ser>
          <c:idx val="3"/>
          <c:order val="1"/>
          <c:tx>
            <c:strRef>
              <c:f>ИСХОДНЫЕ!$A$669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120"/>
              <c:layout>
                <c:manualLayout>
                  <c:x val="0"/>
                  <c:y val="-4.873131313131313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ИСХОДНЫЕ!$N$912:$ED$912</c:f>
              <c:numCache>
                <c:formatCode>mmm\-yy</c:formatCode>
                <c:ptCount val="121"/>
                <c:pt idx="0">
                  <c:v>39814</c:v>
                </c:pt>
                <c:pt idx="1">
                  <c:v>39845</c:v>
                </c:pt>
                <c:pt idx="2">
                  <c:v>39873</c:v>
                </c:pt>
                <c:pt idx="3">
                  <c:v>39904</c:v>
                </c:pt>
                <c:pt idx="4">
                  <c:v>39934</c:v>
                </c:pt>
                <c:pt idx="5">
                  <c:v>39965</c:v>
                </c:pt>
                <c:pt idx="6">
                  <c:v>39995</c:v>
                </c:pt>
                <c:pt idx="7">
                  <c:v>40026</c:v>
                </c:pt>
                <c:pt idx="8">
                  <c:v>40057</c:v>
                </c:pt>
                <c:pt idx="9">
                  <c:v>40087</c:v>
                </c:pt>
                <c:pt idx="10">
                  <c:v>40118</c:v>
                </c:pt>
                <c:pt idx="11">
                  <c:v>40148</c:v>
                </c:pt>
                <c:pt idx="12">
                  <c:v>40179</c:v>
                </c:pt>
                <c:pt idx="13">
                  <c:v>40210</c:v>
                </c:pt>
                <c:pt idx="14">
                  <c:v>40238</c:v>
                </c:pt>
                <c:pt idx="15">
                  <c:v>40269</c:v>
                </c:pt>
                <c:pt idx="16">
                  <c:v>40299</c:v>
                </c:pt>
                <c:pt idx="17">
                  <c:v>40330</c:v>
                </c:pt>
                <c:pt idx="18">
                  <c:v>40360</c:v>
                </c:pt>
                <c:pt idx="19">
                  <c:v>40391</c:v>
                </c:pt>
                <c:pt idx="20">
                  <c:v>40422</c:v>
                </c:pt>
                <c:pt idx="21">
                  <c:v>40452</c:v>
                </c:pt>
                <c:pt idx="22">
                  <c:v>40483</c:v>
                </c:pt>
                <c:pt idx="23">
                  <c:v>40513</c:v>
                </c:pt>
                <c:pt idx="24">
                  <c:v>40544</c:v>
                </c:pt>
                <c:pt idx="25">
                  <c:v>40575</c:v>
                </c:pt>
                <c:pt idx="26">
                  <c:v>40603</c:v>
                </c:pt>
                <c:pt idx="27">
                  <c:v>40634</c:v>
                </c:pt>
                <c:pt idx="28">
                  <c:v>40664</c:v>
                </c:pt>
                <c:pt idx="29">
                  <c:v>40695</c:v>
                </c:pt>
                <c:pt idx="30">
                  <c:v>40725</c:v>
                </c:pt>
                <c:pt idx="31">
                  <c:v>40756</c:v>
                </c:pt>
                <c:pt idx="32">
                  <c:v>40787</c:v>
                </c:pt>
                <c:pt idx="33">
                  <c:v>40817</c:v>
                </c:pt>
                <c:pt idx="34">
                  <c:v>40848</c:v>
                </c:pt>
                <c:pt idx="35">
                  <c:v>40878</c:v>
                </c:pt>
                <c:pt idx="36">
                  <c:v>40909</c:v>
                </c:pt>
                <c:pt idx="37">
                  <c:v>40940</c:v>
                </c:pt>
                <c:pt idx="38">
                  <c:v>40969</c:v>
                </c:pt>
                <c:pt idx="39">
                  <c:v>41000</c:v>
                </c:pt>
                <c:pt idx="40">
                  <c:v>41030</c:v>
                </c:pt>
                <c:pt idx="41">
                  <c:v>41061</c:v>
                </c:pt>
                <c:pt idx="42">
                  <c:v>41091</c:v>
                </c:pt>
                <c:pt idx="43">
                  <c:v>41122</c:v>
                </c:pt>
                <c:pt idx="44">
                  <c:v>41153</c:v>
                </c:pt>
                <c:pt idx="45">
                  <c:v>41183</c:v>
                </c:pt>
                <c:pt idx="46">
                  <c:v>41214</c:v>
                </c:pt>
                <c:pt idx="47">
                  <c:v>41244</c:v>
                </c:pt>
                <c:pt idx="48">
                  <c:v>41275</c:v>
                </c:pt>
                <c:pt idx="49">
                  <c:v>41306</c:v>
                </c:pt>
                <c:pt idx="50">
                  <c:v>41334</c:v>
                </c:pt>
                <c:pt idx="51">
                  <c:v>41365</c:v>
                </c:pt>
                <c:pt idx="52">
                  <c:v>41395</c:v>
                </c:pt>
                <c:pt idx="53">
                  <c:v>41426</c:v>
                </c:pt>
                <c:pt idx="54">
                  <c:v>41456</c:v>
                </c:pt>
                <c:pt idx="55">
                  <c:v>41487</c:v>
                </c:pt>
                <c:pt idx="56">
                  <c:v>41518</c:v>
                </c:pt>
                <c:pt idx="57">
                  <c:v>41548</c:v>
                </c:pt>
                <c:pt idx="58">
                  <c:v>41579</c:v>
                </c:pt>
                <c:pt idx="59">
                  <c:v>41609</c:v>
                </c:pt>
                <c:pt idx="60">
                  <c:v>41640</c:v>
                </c:pt>
                <c:pt idx="61">
                  <c:v>41671</c:v>
                </c:pt>
                <c:pt idx="62">
                  <c:v>41699</c:v>
                </c:pt>
                <c:pt idx="63">
                  <c:v>41730</c:v>
                </c:pt>
                <c:pt idx="64">
                  <c:v>41760</c:v>
                </c:pt>
                <c:pt idx="65">
                  <c:v>41791</c:v>
                </c:pt>
                <c:pt idx="66">
                  <c:v>41821</c:v>
                </c:pt>
                <c:pt idx="67">
                  <c:v>41852</c:v>
                </c:pt>
                <c:pt idx="68">
                  <c:v>41883</c:v>
                </c:pt>
                <c:pt idx="69">
                  <c:v>41913</c:v>
                </c:pt>
                <c:pt idx="70">
                  <c:v>41944</c:v>
                </c:pt>
                <c:pt idx="71">
                  <c:v>41974</c:v>
                </c:pt>
                <c:pt idx="72">
                  <c:v>42005</c:v>
                </c:pt>
                <c:pt idx="73">
                  <c:v>42036</c:v>
                </c:pt>
                <c:pt idx="74">
                  <c:v>42064</c:v>
                </c:pt>
                <c:pt idx="75">
                  <c:v>42095</c:v>
                </c:pt>
                <c:pt idx="76">
                  <c:v>42125</c:v>
                </c:pt>
                <c:pt idx="77">
                  <c:v>42156</c:v>
                </c:pt>
                <c:pt idx="78">
                  <c:v>42186</c:v>
                </c:pt>
                <c:pt idx="79">
                  <c:v>42217</c:v>
                </c:pt>
                <c:pt idx="80">
                  <c:v>42248</c:v>
                </c:pt>
                <c:pt idx="81">
                  <c:v>42278</c:v>
                </c:pt>
                <c:pt idx="82">
                  <c:v>42309</c:v>
                </c:pt>
                <c:pt idx="83">
                  <c:v>42339</c:v>
                </c:pt>
                <c:pt idx="84">
                  <c:v>42370</c:v>
                </c:pt>
                <c:pt idx="85">
                  <c:v>42401</c:v>
                </c:pt>
                <c:pt idx="86">
                  <c:v>42430</c:v>
                </c:pt>
                <c:pt idx="87">
                  <c:v>42461</c:v>
                </c:pt>
                <c:pt idx="88">
                  <c:v>42491</c:v>
                </c:pt>
                <c:pt idx="89">
                  <c:v>42522</c:v>
                </c:pt>
                <c:pt idx="90">
                  <c:v>42552</c:v>
                </c:pt>
                <c:pt idx="91">
                  <c:v>42583</c:v>
                </c:pt>
                <c:pt idx="92">
                  <c:v>42614</c:v>
                </c:pt>
                <c:pt idx="93">
                  <c:v>42644</c:v>
                </c:pt>
                <c:pt idx="94">
                  <c:v>42675</c:v>
                </c:pt>
                <c:pt idx="95">
                  <c:v>42705</c:v>
                </c:pt>
                <c:pt idx="96">
                  <c:v>42736</c:v>
                </c:pt>
                <c:pt idx="97">
                  <c:v>42767</c:v>
                </c:pt>
                <c:pt idx="98">
                  <c:v>42795</c:v>
                </c:pt>
                <c:pt idx="99">
                  <c:v>42826</c:v>
                </c:pt>
                <c:pt idx="100">
                  <c:v>42856</c:v>
                </c:pt>
                <c:pt idx="101">
                  <c:v>42887</c:v>
                </c:pt>
                <c:pt idx="102">
                  <c:v>42917</c:v>
                </c:pt>
                <c:pt idx="103">
                  <c:v>42948</c:v>
                </c:pt>
                <c:pt idx="104">
                  <c:v>42979</c:v>
                </c:pt>
                <c:pt idx="105">
                  <c:v>43009</c:v>
                </c:pt>
                <c:pt idx="106">
                  <c:v>43040</c:v>
                </c:pt>
                <c:pt idx="107">
                  <c:v>43070</c:v>
                </c:pt>
                <c:pt idx="108">
                  <c:v>43101</c:v>
                </c:pt>
                <c:pt idx="109">
                  <c:v>43132</c:v>
                </c:pt>
                <c:pt idx="110">
                  <c:v>43160</c:v>
                </c:pt>
                <c:pt idx="111">
                  <c:v>43191</c:v>
                </c:pt>
                <c:pt idx="112">
                  <c:v>43221</c:v>
                </c:pt>
                <c:pt idx="113">
                  <c:v>43252</c:v>
                </c:pt>
                <c:pt idx="114">
                  <c:v>43282</c:v>
                </c:pt>
                <c:pt idx="115">
                  <c:v>43313</c:v>
                </c:pt>
                <c:pt idx="116">
                  <c:v>43344</c:v>
                </c:pt>
                <c:pt idx="117">
                  <c:v>43374</c:v>
                </c:pt>
                <c:pt idx="118">
                  <c:v>43405</c:v>
                </c:pt>
                <c:pt idx="119">
                  <c:v>43435</c:v>
                </c:pt>
                <c:pt idx="120">
                  <c:v>43466</c:v>
                </c:pt>
              </c:numCache>
            </c:numRef>
          </c:cat>
          <c:val>
            <c:numRef>
              <c:f>ИСХОДНЫЕ!$N$759:$ED$759</c:f>
              <c:numCache>
                <c:formatCode>0.0</c:formatCode>
                <c:ptCount val="121"/>
                <c:pt idx="0">
                  <c:v>73.752541869753003</c:v>
                </c:pt>
                <c:pt idx="1">
                  <c:v>73.960161425782402</c:v>
                </c:pt>
                <c:pt idx="2">
                  <c:v>74.1705548844064</c:v>
                </c:pt>
                <c:pt idx="3">
                  <c:v>74.4898757493511</c:v>
                </c:pt>
                <c:pt idx="4">
                  <c:v>74.950073917637198</c:v>
                </c:pt>
                <c:pt idx="5">
                  <c:v>75.514565676919403</c:v>
                </c:pt>
                <c:pt idx="6">
                  <c:v>76.111476164751707</c:v>
                </c:pt>
                <c:pt idx="7">
                  <c:v>76.612654280613896</c:v>
                </c:pt>
                <c:pt idx="8">
                  <c:v>76.962333748390606</c:v>
                </c:pt>
                <c:pt idx="9">
                  <c:v>77.295169569654405</c:v>
                </c:pt>
                <c:pt idx="10">
                  <c:v>77.781557519343494</c:v>
                </c:pt>
                <c:pt idx="11">
                  <c:v>78.335241456464502</c:v>
                </c:pt>
                <c:pt idx="12">
                  <c:v>78.773579248287604</c:v>
                </c:pt>
                <c:pt idx="13">
                  <c:v>79.151282732231607</c:v>
                </c:pt>
                <c:pt idx="14">
                  <c:v>79.5838254798267</c:v>
                </c:pt>
                <c:pt idx="15">
                  <c:v>79.973166453869098</c:v>
                </c:pt>
                <c:pt idx="16">
                  <c:v>80.218296368992299</c:v>
                </c:pt>
                <c:pt idx="17">
                  <c:v>80.379135651869902</c:v>
                </c:pt>
                <c:pt idx="18">
                  <c:v>80.504618266919096</c:v>
                </c:pt>
                <c:pt idx="19">
                  <c:v>80.562189667972703</c:v>
                </c:pt>
                <c:pt idx="20">
                  <c:v>80.543063342413902</c:v>
                </c:pt>
                <c:pt idx="21">
                  <c:v>80.542021815211001</c:v>
                </c:pt>
                <c:pt idx="22">
                  <c:v>80.583803454756904</c:v>
                </c:pt>
                <c:pt idx="23">
                  <c:v>80.678639451286102</c:v>
                </c:pt>
                <c:pt idx="24">
                  <c:v>80.949735012867194</c:v>
                </c:pt>
                <c:pt idx="25">
                  <c:v>81.421429032749401</c:v>
                </c:pt>
                <c:pt idx="26">
                  <c:v>81.9370918167876</c:v>
                </c:pt>
                <c:pt idx="27">
                  <c:v>82.271570313036094</c:v>
                </c:pt>
                <c:pt idx="28">
                  <c:v>82.399784208275406</c:v>
                </c:pt>
                <c:pt idx="29">
                  <c:v>82.486722530516403</c:v>
                </c:pt>
                <c:pt idx="30">
                  <c:v>82.598808060424403</c:v>
                </c:pt>
                <c:pt idx="31">
                  <c:v>82.761227876913594</c:v>
                </c:pt>
                <c:pt idx="32">
                  <c:v>83.009367371667395</c:v>
                </c:pt>
                <c:pt idx="33">
                  <c:v>83.340069823500102</c:v>
                </c:pt>
                <c:pt idx="34">
                  <c:v>83.702782934899403</c:v>
                </c:pt>
                <c:pt idx="35">
                  <c:v>84.055388942743406</c:v>
                </c:pt>
                <c:pt idx="36">
                  <c:v>84.416648564521594</c:v>
                </c:pt>
                <c:pt idx="37">
                  <c:v>84.688004981966699</c:v>
                </c:pt>
                <c:pt idx="38">
                  <c:v>84.790680678052894</c:v>
                </c:pt>
                <c:pt idx="39">
                  <c:v>84.892278717952706</c:v>
                </c:pt>
                <c:pt idx="40">
                  <c:v>85.052654119212306</c:v>
                </c:pt>
                <c:pt idx="41">
                  <c:v>85.077636075385598</c:v>
                </c:pt>
                <c:pt idx="42">
                  <c:v>84.9983949363818</c:v>
                </c:pt>
                <c:pt idx="43">
                  <c:v>85.035880929678598</c:v>
                </c:pt>
                <c:pt idx="44">
                  <c:v>85.213112931366098</c:v>
                </c:pt>
                <c:pt idx="45">
                  <c:v>85.341932855622801</c:v>
                </c:pt>
                <c:pt idx="46">
                  <c:v>85.2737942277857</c:v>
                </c:pt>
                <c:pt idx="47">
                  <c:v>85.102807992300697</c:v>
                </c:pt>
                <c:pt idx="48">
                  <c:v>84.881896097213001</c:v>
                </c:pt>
                <c:pt idx="49">
                  <c:v>84.5713785452959</c:v>
                </c:pt>
                <c:pt idx="50">
                  <c:v>84.251109551683498</c:v>
                </c:pt>
                <c:pt idx="51">
                  <c:v>83.9781758279657</c:v>
                </c:pt>
                <c:pt idx="52">
                  <c:v>83.763669609061196</c:v>
                </c:pt>
                <c:pt idx="53">
                  <c:v>83.658950401102601</c:v>
                </c:pt>
                <c:pt idx="54">
                  <c:v>83.636481550244099</c:v>
                </c:pt>
                <c:pt idx="55">
                  <c:v>83.619611462445704</c:v>
                </c:pt>
                <c:pt idx="56">
                  <c:v>83.614661056022797</c:v>
                </c:pt>
                <c:pt idx="57">
                  <c:v>83.612374240941094</c:v>
                </c:pt>
                <c:pt idx="58">
                  <c:v>83.562355511882004</c:v>
                </c:pt>
                <c:pt idx="59">
                  <c:v>83.435009743191202</c:v>
                </c:pt>
                <c:pt idx="60">
                  <c:v>83.215027851157203</c:v>
                </c:pt>
                <c:pt idx="61">
                  <c:v>82.943676957727405</c:v>
                </c:pt>
                <c:pt idx="62">
                  <c:v>82.683402116734698</c:v>
                </c:pt>
                <c:pt idx="63">
                  <c:v>82.465677963385502</c:v>
                </c:pt>
                <c:pt idx="64">
                  <c:v>82.311418007730097</c:v>
                </c:pt>
                <c:pt idx="65">
                  <c:v>82.257559472496595</c:v>
                </c:pt>
                <c:pt idx="66">
                  <c:v>82.2406812921473</c:v>
                </c:pt>
                <c:pt idx="67">
                  <c:v>82.143315569798105</c:v>
                </c:pt>
                <c:pt idx="68">
                  <c:v>81.927543514562004</c:v>
                </c:pt>
                <c:pt idx="69">
                  <c:v>81.579336179529804</c:v>
                </c:pt>
                <c:pt idx="70">
                  <c:v>81.191329901018705</c:v>
                </c:pt>
                <c:pt idx="71">
                  <c:v>80.827140808527602</c:v>
                </c:pt>
                <c:pt idx="72">
                  <c:v>80.442180970770096</c:v>
                </c:pt>
                <c:pt idx="73">
                  <c:v>80.056686867159897</c:v>
                </c:pt>
                <c:pt idx="74">
                  <c:v>79.704643542628801</c:v>
                </c:pt>
                <c:pt idx="75">
                  <c:v>79.412435133082198</c:v>
                </c:pt>
                <c:pt idx="76">
                  <c:v>79.213183739698593</c:v>
                </c:pt>
                <c:pt idx="77">
                  <c:v>79.086540463531804</c:v>
                </c:pt>
                <c:pt idx="78">
                  <c:v>78.9604610544026</c:v>
                </c:pt>
                <c:pt idx="79">
                  <c:v>78.825425711731398</c:v>
                </c:pt>
                <c:pt idx="80">
                  <c:v>78.7366341326303</c:v>
                </c:pt>
                <c:pt idx="81">
                  <c:v>78.738202484596599</c:v>
                </c:pt>
                <c:pt idx="82">
                  <c:v>78.867187191023206</c:v>
                </c:pt>
                <c:pt idx="83">
                  <c:v>79.078935176118605</c:v>
                </c:pt>
                <c:pt idx="84">
                  <c:v>79.321774245800299</c:v>
                </c:pt>
                <c:pt idx="85">
                  <c:v>79.6238210674844</c:v>
                </c:pt>
                <c:pt idx="86">
                  <c:v>80.010079108000397</c:v>
                </c:pt>
                <c:pt idx="87">
                  <c:v>80.414117118480206</c:v>
                </c:pt>
                <c:pt idx="88">
                  <c:v>80.756616366664403</c:v>
                </c:pt>
                <c:pt idx="89">
                  <c:v>81.063409980807094</c:v>
                </c:pt>
                <c:pt idx="90">
                  <c:v>81.400121437657404</c:v>
                </c:pt>
                <c:pt idx="91">
                  <c:v>81.814609729932997</c:v>
                </c:pt>
                <c:pt idx="92">
                  <c:v>82.260580799764597</c:v>
                </c:pt>
                <c:pt idx="93">
                  <c:v>82.6813343609128</c:v>
                </c:pt>
                <c:pt idx="94">
                  <c:v>83.085087497214303</c:v>
                </c:pt>
                <c:pt idx="95">
                  <c:v>83.490824310805905</c:v>
                </c:pt>
                <c:pt idx="96">
                  <c:v>83.925856887768603</c:v>
                </c:pt>
                <c:pt idx="97">
                  <c:v>84.386772064683001</c:v>
                </c:pt>
                <c:pt idx="98">
                  <c:v>84.810654948213795</c:v>
                </c:pt>
                <c:pt idx="99">
                  <c:v>85.216310371194297</c:v>
                </c:pt>
                <c:pt idx="100">
                  <c:v>85.689860616430707</c:v>
                </c:pt>
                <c:pt idx="101">
                  <c:v>86.1836719872</c:v>
                </c:pt>
                <c:pt idx="102">
                  <c:v>86.733307570970396</c:v>
                </c:pt>
                <c:pt idx="103">
                  <c:v>87.429209934756003</c:v>
                </c:pt>
                <c:pt idx="104">
                  <c:v>88.191216286510596</c:v>
                </c:pt>
                <c:pt idx="105">
                  <c:v>88.964861514074201</c:v>
                </c:pt>
                <c:pt idx="106">
                  <c:v>89.780751423557902</c:v>
                </c:pt>
                <c:pt idx="107">
                  <c:v>90.682139219771301</c:v>
                </c:pt>
                <c:pt idx="108">
                  <c:v>91.694206544410093</c:v>
                </c:pt>
                <c:pt idx="109">
                  <c:v>92.761589487994101</c:v>
                </c:pt>
                <c:pt idx="110">
                  <c:v>93.819267969176195</c:v>
                </c:pt>
                <c:pt idx="111">
                  <c:v>94.862314035020006</c:v>
                </c:pt>
                <c:pt idx="112">
                  <c:v>95.853080972849796</c:v>
                </c:pt>
                <c:pt idx="113">
                  <c:v>96.751266585327201</c:v>
                </c:pt>
                <c:pt idx="114">
                  <c:v>97.544034045251706</c:v>
                </c:pt>
                <c:pt idx="115">
                  <c:v>98.211289424691103</c:v>
                </c:pt>
                <c:pt idx="116">
                  <c:v>98.862036269978702</c:v>
                </c:pt>
                <c:pt idx="117">
                  <c:v>99.548486129426706</c:v>
                </c:pt>
                <c:pt idx="118">
                  <c:v>100.15648348754</c:v>
                </c:pt>
                <c:pt idx="119">
                  <c:v>100.65845487875301</c:v>
                </c:pt>
                <c:pt idx="120">
                  <c:v>101.10420577540199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932608"/>
        <c:axId val="116934144"/>
      </c:lineChart>
      <c:dateAx>
        <c:axId val="116932608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mmm\-yy" sourceLinked="1"/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934144"/>
        <c:crosses val="autoZero"/>
        <c:auto val="1"/>
        <c:lblOffset val="100"/>
        <c:baseTimeUnit val="months"/>
        <c:majorUnit val="12"/>
        <c:majorTimeUnit val="months"/>
      </c:dateAx>
      <c:valAx>
        <c:axId val="116934144"/>
        <c:scaling>
          <c:orientation val="minMax"/>
          <c:max val="120"/>
          <c:min val="7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932608"/>
        <c:crosses val="autoZero"/>
        <c:crossBetween val="between"/>
        <c:majorUnit val="10"/>
      </c:valAx>
    </c:plotArea>
    <c:legend>
      <c:legendPos val="b"/>
      <c:layout>
        <c:manualLayout>
          <c:xMode val="edge"/>
          <c:yMode val="edge"/>
          <c:x val="0.11930777557897583"/>
          <c:y val="7.3007286639573274E-2"/>
          <c:w val="0.13861645196048192"/>
          <c:h val="0.16326992744627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6295656565656566"/>
          <c:y val="4.7897474747474744E-2"/>
          <c:w val="0.785730303030303"/>
          <c:h val="0.7328932010504815"/>
        </c:manualLayout>
      </c:layout>
      <c:lineChart>
        <c:grouping val="standard"/>
        <c:varyColors val="0"/>
        <c:ser>
          <c:idx val="2"/>
          <c:order val="0"/>
          <c:tx>
            <c:strRef>
              <c:f>ИСХОДНЫЕ!$A$668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11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20"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ИСХОДНЫЕ!$N$915:$ED$915</c:f>
              <c:numCache>
                <c:formatCode>mmm\-yy</c:formatCode>
                <c:ptCount val="121"/>
                <c:pt idx="0">
                  <c:v>39814</c:v>
                </c:pt>
                <c:pt idx="1">
                  <c:v>39845</c:v>
                </c:pt>
                <c:pt idx="2">
                  <c:v>39873</c:v>
                </c:pt>
                <c:pt idx="3">
                  <c:v>39904</c:v>
                </c:pt>
                <c:pt idx="4">
                  <c:v>39934</c:v>
                </c:pt>
                <c:pt idx="5">
                  <c:v>39965</c:v>
                </c:pt>
                <c:pt idx="6">
                  <c:v>39995</c:v>
                </c:pt>
                <c:pt idx="7">
                  <c:v>40026</c:v>
                </c:pt>
                <c:pt idx="8">
                  <c:v>40057</c:v>
                </c:pt>
                <c:pt idx="9">
                  <c:v>40087</c:v>
                </c:pt>
                <c:pt idx="10">
                  <c:v>40118</c:v>
                </c:pt>
                <c:pt idx="11">
                  <c:v>40148</c:v>
                </c:pt>
                <c:pt idx="12">
                  <c:v>40179</c:v>
                </c:pt>
                <c:pt idx="13">
                  <c:v>40210</c:v>
                </c:pt>
                <c:pt idx="14">
                  <c:v>40238</c:v>
                </c:pt>
                <c:pt idx="15">
                  <c:v>40269</c:v>
                </c:pt>
                <c:pt idx="16">
                  <c:v>40299</c:v>
                </c:pt>
                <c:pt idx="17">
                  <c:v>40330</c:v>
                </c:pt>
                <c:pt idx="18">
                  <c:v>40360</c:v>
                </c:pt>
                <c:pt idx="19">
                  <c:v>40391</c:v>
                </c:pt>
                <c:pt idx="20">
                  <c:v>40422</c:v>
                </c:pt>
                <c:pt idx="21">
                  <c:v>40452</c:v>
                </c:pt>
                <c:pt idx="22">
                  <c:v>40483</c:v>
                </c:pt>
                <c:pt idx="23">
                  <c:v>40513</c:v>
                </c:pt>
                <c:pt idx="24">
                  <c:v>40544</c:v>
                </c:pt>
                <c:pt idx="25">
                  <c:v>40575</c:v>
                </c:pt>
                <c:pt idx="26">
                  <c:v>40603</c:v>
                </c:pt>
                <c:pt idx="27">
                  <c:v>40634</c:v>
                </c:pt>
                <c:pt idx="28">
                  <c:v>40664</c:v>
                </c:pt>
                <c:pt idx="29">
                  <c:v>40695</c:v>
                </c:pt>
                <c:pt idx="30">
                  <c:v>40725</c:v>
                </c:pt>
                <c:pt idx="31">
                  <c:v>40756</c:v>
                </c:pt>
                <c:pt idx="32">
                  <c:v>40787</c:v>
                </c:pt>
                <c:pt idx="33">
                  <c:v>40817</c:v>
                </c:pt>
                <c:pt idx="34">
                  <c:v>40848</c:v>
                </c:pt>
                <c:pt idx="35">
                  <c:v>40878</c:v>
                </c:pt>
                <c:pt idx="36">
                  <c:v>40909</c:v>
                </c:pt>
                <c:pt idx="37">
                  <c:v>40940</c:v>
                </c:pt>
                <c:pt idx="38">
                  <c:v>40969</c:v>
                </c:pt>
                <c:pt idx="39">
                  <c:v>41000</c:v>
                </c:pt>
                <c:pt idx="40">
                  <c:v>41030</c:v>
                </c:pt>
                <c:pt idx="41">
                  <c:v>41061</c:v>
                </c:pt>
                <c:pt idx="42">
                  <c:v>41091</c:v>
                </c:pt>
                <c:pt idx="43">
                  <c:v>41122</c:v>
                </c:pt>
                <c:pt idx="44">
                  <c:v>41153</c:v>
                </c:pt>
                <c:pt idx="45">
                  <c:v>41183</c:v>
                </c:pt>
                <c:pt idx="46">
                  <c:v>41214</c:v>
                </c:pt>
                <c:pt idx="47">
                  <c:v>41244</c:v>
                </c:pt>
                <c:pt idx="48">
                  <c:v>41275</c:v>
                </c:pt>
                <c:pt idx="49">
                  <c:v>41306</c:v>
                </c:pt>
                <c:pt idx="50">
                  <c:v>41334</c:v>
                </c:pt>
                <c:pt idx="51">
                  <c:v>41365</c:v>
                </c:pt>
                <c:pt idx="52">
                  <c:v>41395</c:v>
                </c:pt>
                <c:pt idx="53">
                  <c:v>41426</c:v>
                </c:pt>
                <c:pt idx="54">
                  <c:v>41456</c:v>
                </c:pt>
                <c:pt idx="55">
                  <c:v>41487</c:v>
                </c:pt>
                <c:pt idx="56">
                  <c:v>41518</c:v>
                </c:pt>
                <c:pt idx="57">
                  <c:v>41548</c:v>
                </c:pt>
                <c:pt idx="58">
                  <c:v>41579</c:v>
                </c:pt>
                <c:pt idx="59">
                  <c:v>41609</c:v>
                </c:pt>
                <c:pt idx="60">
                  <c:v>41640</c:v>
                </c:pt>
                <c:pt idx="61">
                  <c:v>41671</c:v>
                </c:pt>
                <c:pt idx="62">
                  <c:v>41699</c:v>
                </c:pt>
                <c:pt idx="63">
                  <c:v>41730</c:v>
                </c:pt>
                <c:pt idx="64">
                  <c:v>41760</c:v>
                </c:pt>
                <c:pt idx="65">
                  <c:v>41791</c:v>
                </c:pt>
                <c:pt idx="66">
                  <c:v>41821</c:v>
                </c:pt>
                <c:pt idx="67">
                  <c:v>41852</c:v>
                </c:pt>
                <c:pt idx="68">
                  <c:v>41883</c:v>
                </c:pt>
                <c:pt idx="69">
                  <c:v>41913</c:v>
                </c:pt>
                <c:pt idx="70">
                  <c:v>41944</c:v>
                </c:pt>
                <c:pt idx="71">
                  <c:v>41974</c:v>
                </c:pt>
                <c:pt idx="72">
                  <c:v>42005</c:v>
                </c:pt>
                <c:pt idx="73">
                  <c:v>42036</c:v>
                </c:pt>
                <c:pt idx="74">
                  <c:v>42064</c:v>
                </c:pt>
                <c:pt idx="75">
                  <c:v>42095</c:v>
                </c:pt>
                <c:pt idx="76">
                  <c:v>42125</c:v>
                </c:pt>
                <c:pt idx="77">
                  <c:v>42156</c:v>
                </c:pt>
                <c:pt idx="78">
                  <c:v>42186</c:v>
                </c:pt>
                <c:pt idx="79">
                  <c:v>42217</c:v>
                </c:pt>
                <c:pt idx="80">
                  <c:v>42248</c:v>
                </c:pt>
                <c:pt idx="81">
                  <c:v>42278</c:v>
                </c:pt>
                <c:pt idx="82">
                  <c:v>42309</c:v>
                </c:pt>
                <c:pt idx="83">
                  <c:v>42339</c:v>
                </c:pt>
                <c:pt idx="84">
                  <c:v>42370</c:v>
                </c:pt>
                <c:pt idx="85">
                  <c:v>42401</c:v>
                </c:pt>
                <c:pt idx="86">
                  <c:v>42430</c:v>
                </c:pt>
                <c:pt idx="87">
                  <c:v>42461</c:v>
                </c:pt>
                <c:pt idx="88">
                  <c:v>42491</c:v>
                </c:pt>
                <c:pt idx="89">
                  <c:v>42522</c:v>
                </c:pt>
                <c:pt idx="90">
                  <c:v>42552</c:v>
                </c:pt>
                <c:pt idx="91">
                  <c:v>42583</c:v>
                </c:pt>
                <c:pt idx="92">
                  <c:v>42614</c:v>
                </c:pt>
                <c:pt idx="93">
                  <c:v>42644</c:v>
                </c:pt>
                <c:pt idx="94">
                  <c:v>42675</c:v>
                </c:pt>
                <c:pt idx="95">
                  <c:v>42705</c:v>
                </c:pt>
                <c:pt idx="96">
                  <c:v>42736</c:v>
                </c:pt>
                <c:pt idx="97">
                  <c:v>42767</c:v>
                </c:pt>
                <c:pt idx="98">
                  <c:v>42795</c:v>
                </c:pt>
                <c:pt idx="99">
                  <c:v>42826</c:v>
                </c:pt>
                <c:pt idx="100">
                  <c:v>42856</c:v>
                </c:pt>
                <c:pt idx="101">
                  <c:v>42887</c:v>
                </c:pt>
                <c:pt idx="102">
                  <c:v>42917</c:v>
                </c:pt>
                <c:pt idx="103">
                  <c:v>42948</c:v>
                </c:pt>
                <c:pt idx="104">
                  <c:v>42979</c:v>
                </c:pt>
                <c:pt idx="105">
                  <c:v>43009</c:v>
                </c:pt>
                <c:pt idx="106">
                  <c:v>43040</c:v>
                </c:pt>
                <c:pt idx="107">
                  <c:v>43070</c:v>
                </c:pt>
                <c:pt idx="108">
                  <c:v>43101</c:v>
                </c:pt>
                <c:pt idx="109">
                  <c:v>43132</c:v>
                </c:pt>
                <c:pt idx="110">
                  <c:v>43160</c:v>
                </c:pt>
                <c:pt idx="111">
                  <c:v>43191</c:v>
                </c:pt>
                <c:pt idx="112">
                  <c:v>43221</c:v>
                </c:pt>
                <c:pt idx="113">
                  <c:v>43252</c:v>
                </c:pt>
                <c:pt idx="114">
                  <c:v>43282</c:v>
                </c:pt>
                <c:pt idx="115">
                  <c:v>43313</c:v>
                </c:pt>
                <c:pt idx="116">
                  <c:v>43344</c:v>
                </c:pt>
                <c:pt idx="117">
                  <c:v>43374</c:v>
                </c:pt>
                <c:pt idx="118">
                  <c:v>43405</c:v>
                </c:pt>
                <c:pt idx="119">
                  <c:v>43435</c:v>
                </c:pt>
                <c:pt idx="120">
                  <c:v>43466</c:v>
                </c:pt>
              </c:numCache>
            </c:numRef>
          </c:cat>
          <c:val>
            <c:numRef>
              <c:f>ИСХОДНЫЕ!$N$800:$ED$800</c:f>
              <c:numCache>
                <c:formatCode>0.0</c:formatCode>
                <c:ptCount val="121"/>
                <c:pt idx="0">
                  <c:v>79.1573430194412</c:v>
                </c:pt>
                <c:pt idx="1">
                  <c:v>83.420134278637718</c:v>
                </c:pt>
                <c:pt idx="2">
                  <c:v>89.027201122975541</c:v>
                </c:pt>
                <c:pt idx="3">
                  <c:v>94.927440541874347</c:v>
                </c:pt>
                <c:pt idx="4">
                  <c:v>100.58482240930356</c:v>
                </c:pt>
                <c:pt idx="5">
                  <c:v>105.56099840574649</c:v>
                </c:pt>
                <c:pt idx="6">
                  <c:v>110.31090469816162</c:v>
                </c:pt>
                <c:pt idx="7">
                  <c:v>115.08758949910623</c:v>
                </c:pt>
                <c:pt idx="8">
                  <c:v>119.43858415979069</c:v>
                </c:pt>
                <c:pt idx="9">
                  <c:v>123.46322387875705</c:v>
                </c:pt>
                <c:pt idx="10">
                  <c:v>127.75457824228728</c:v>
                </c:pt>
                <c:pt idx="11">
                  <c:v>131.59454080011997</c:v>
                </c:pt>
                <c:pt idx="12">
                  <c:v>133.60301489033432</c:v>
                </c:pt>
                <c:pt idx="13">
                  <c:v>134.20288499958517</c:v>
                </c:pt>
                <c:pt idx="14">
                  <c:v>134.53236290743646</c:v>
                </c:pt>
                <c:pt idx="15">
                  <c:v>134.96832118038296</c:v>
                </c:pt>
                <c:pt idx="16">
                  <c:v>135.8566582816903</c:v>
                </c:pt>
                <c:pt idx="17">
                  <c:v>137.99517195502796</c:v>
                </c:pt>
                <c:pt idx="18">
                  <c:v>141.1046017733853</c:v>
                </c:pt>
                <c:pt idx="19">
                  <c:v>143.86158933061154</c:v>
                </c:pt>
                <c:pt idx="20">
                  <c:v>146.26543208045305</c:v>
                </c:pt>
                <c:pt idx="21">
                  <c:v>148.84719807740618</c:v>
                </c:pt>
                <c:pt idx="22">
                  <c:v>151.44183720894301</c:v>
                </c:pt>
                <c:pt idx="23">
                  <c:v>153.81989481210388</c:v>
                </c:pt>
                <c:pt idx="24">
                  <c:v>155.5035868507577</c:v>
                </c:pt>
                <c:pt idx="25">
                  <c:v>156.14157333722619</c:v>
                </c:pt>
                <c:pt idx="26">
                  <c:v>156.24132977295312</c:v>
                </c:pt>
                <c:pt idx="27">
                  <c:v>156.11551946539763</c:v>
                </c:pt>
                <c:pt idx="28">
                  <c:v>155.27030441531176</c:v>
                </c:pt>
                <c:pt idx="29">
                  <c:v>153.82127452161106</c:v>
                </c:pt>
                <c:pt idx="30">
                  <c:v>152.46129520631413</c:v>
                </c:pt>
                <c:pt idx="31">
                  <c:v>151.06683812081894</c:v>
                </c:pt>
                <c:pt idx="32">
                  <c:v>150.34074841862983</c:v>
                </c:pt>
                <c:pt idx="33">
                  <c:v>151.16018049449755</c:v>
                </c:pt>
                <c:pt idx="34">
                  <c:v>152.15454492653544</c:v>
                </c:pt>
                <c:pt idx="35">
                  <c:v>152.83971439407136</c:v>
                </c:pt>
                <c:pt idx="36">
                  <c:v>153.5180974297563</c:v>
                </c:pt>
                <c:pt idx="37">
                  <c:v>152.97808816224878</c:v>
                </c:pt>
                <c:pt idx="38">
                  <c:v>151.2696464951959</c:v>
                </c:pt>
                <c:pt idx="39">
                  <c:v>149.62719879280252</c:v>
                </c:pt>
                <c:pt idx="40">
                  <c:v>148.5202586774592</c:v>
                </c:pt>
                <c:pt idx="41">
                  <c:v>148.269100166973</c:v>
                </c:pt>
                <c:pt idx="42">
                  <c:v>148.64334752317032</c:v>
                </c:pt>
                <c:pt idx="43">
                  <c:v>148.45933053908539</c:v>
                </c:pt>
                <c:pt idx="44">
                  <c:v>146.79105362504879</c:v>
                </c:pt>
                <c:pt idx="45">
                  <c:v>143.84661981965715</c:v>
                </c:pt>
                <c:pt idx="46">
                  <c:v>140.24045025184972</c:v>
                </c:pt>
                <c:pt idx="47">
                  <c:v>136.73857098034981</c:v>
                </c:pt>
                <c:pt idx="48">
                  <c:v>133.83902306971555</c:v>
                </c:pt>
                <c:pt idx="49">
                  <c:v>130.76979164230497</c:v>
                </c:pt>
                <c:pt idx="50">
                  <c:v>127.83983820347751</c:v>
                </c:pt>
                <c:pt idx="51">
                  <c:v>126.40153484232579</c:v>
                </c:pt>
                <c:pt idx="52">
                  <c:v>126.07815950648747</c:v>
                </c:pt>
                <c:pt idx="53">
                  <c:v>126.31935741103584</c:v>
                </c:pt>
                <c:pt idx="54">
                  <c:v>127.08192563670781</c:v>
                </c:pt>
                <c:pt idx="55">
                  <c:v>127.39960615779195</c:v>
                </c:pt>
                <c:pt idx="56">
                  <c:v>126.30385492089977</c:v>
                </c:pt>
                <c:pt idx="57">
                  <c:v>123.89569148138089</c:v>
                </c:pt>
                <c:pt idx="58">
                  <c:v>120.97055099952077</c:v>
                </c:pt>
                <c:pt idx="59">
                  <c:v>118.54051612123851</c:v>
                </c:pt>
                <c:pt idx="60">
                  <c:v>116.93648878885683</c:v>
                </c:pt>
                <c:pt idx="61">
                  <c:v>115.87918683265445</c:v>
                </c:pt>
                <c:pt idx="62">
                  <c:v>115.85234122212817</c:v>
                </c:pt>
                <c:pt idx="63">
                  <c:v>116.85083246720251</c:v>
                </c:pt>
                <c:pt idx="64">
                  <c:v>117.76384921922842</c:v>
                </c:pt>
                <c:pt idx="65">
                  <c:v>117.5020545762453</c:v>
                </c:pt>
                <c:pt idx="66">
                  <c:v>115.70103757523347</c:v>
                </c:pt>
                <c:pt idx="67">
                  <c:v>113.02718907064056</c:v>
                </c:pt>
                <c:pt idx="68">
                  <c:v>110.78309097740646</c:v>
                </c:pt>
                <c:pt idx="69">
                  <c:v>110.52014093794097</c:v>
                </c:pt>
                <c:pt idx="70">
                  <c:v>112.4011264429506</c:v>
                </c:pt>
                <c:pt idx="71">
                  <c:v>115.50292612750309</c:v>
                </c:pt>
                <c:pt idx="72">
                  <c:v>120.42440626238138</c:v>
                </c:pt>
                <c:pt idx="73">
                  <c:v>126.98332137990876</c:v>
                </c:pt>
                <c:pt idx="74">
                  <c:v>131.75640681182446</c:v>
                </c:pt>
                <c:pt idx="75">
                  <c:v>132.494168434215</c:v>
                </c:pt>
                <c:pt idx="76">
                  <c:v>130.27702869941592</c:v>
                </c:pt>
                <c:pt idx="77">
                  <c:v>127.22010963689566</c:v>
                </c:pt>
                <c:pt idx="78">
                  <c:v>124.72649853445684</c:v>
                </c:pt>
                <c:pt idx="79">
                  <c:v>123.74046984734271</c:v>
                </c:pt>
                <c:pt idx="80">
                  <c:v>124.87389645989298</c:v>
                </c:pt>
                <c:pt idx="81">
                  <c:v>126.69582228442084</c:v>
                </c:pt>
                <c:pt idx="82">
                  <c:v>127.59715556852123</c:v>
                </c:pt>
                <c:pt idx="83">
                  <c:v>128.78566931937678</c:v>
                </c:pt>
                <c:pt idx="84">
                  <c:v>132.06289939041864</c:v>
                </c:pt>
                <c:pt idx="85">
                  <c:v>137.0960424111536</c:v>
                </c:pt>
                <c:pt idx="86">
                  <c:v>141.92333811223963</c:v>
                </c:pt>
                <c:pt idx="87">
                  <c:v>145.02180152652787</c:v>
                </c:pt>
                <c:pt idx="88">
                  <c:v>147.25815342965461</c:v>
                </c:pt>
                <c:pt idx="89">
                  <c:v>149.27389826166473</c:v>
                </c:pt>
                <c:pt idx="90">
                  <c:v>150.88951176396935</c:v>
                </c:pt>
                <c:pt idx="91">
                  <c:v>153.04453394110971</c:v>
                </c:pt>
                <c:pt idx="92">
                  <c:v>155.21263510996053</c:v>
                </c:pt>
                <c:pt idx="93">
                  <c:v>156.63070545378153</c:v>
                </c:pt>
                <c:pt idx="94">
                  <c:v>158.08110888302539</c:v>
                </c:pt>
                <c:pt idx="95">
                  <c:v>158.62676956055091</c:v>
                </c:pt>
                <c:pt idx="96">
                  <c:v>156.59648480515358</c:v>
                </c:pt>
                <c:pt idx="97">
                  <c:v>153.10970086357696</c:v>
                </c:pt>
                <c:pt idx="98">
                  <c:v>149.92730571848179</c:v>
                </c:pt>
                <c:pt idx="99">
                  <c:v>147.80708206890893</c:v>
                </c:pt>
                <c:pt idx="100">
                  <c:v>147.44191279258058</c:v>
                </c:pt>
                <c:pt idx="101">
                  <c:v>148.38544735068129</c:v>
                </c:pt>
                <c:pt idx="102">
                  <c:v>149.88359013966945</c:v>
                </c:pt>
                <c:pt idx="103">
                  <c:v>152.05060537488049</c:v>
                </c:pt>
                <c:pt idx="104">
                  <c:v>154.70446927112454</c:v>
                </c:pt>
                <c:pt idx="105">
                  <c:v>157.28525921636432</c:v>
                </c:pt>
                <c:pt idx="106">
                  <c:v>159.77585363026108</c:v>
                </c:pt>
                <c:pt idx="107">
                  <c:v>162.39479437897711</c:v>
                </c:pt>
                <c:pt idx="108">
                  <c:v>164.71956146747436</c:v>
                </c:pt>
                <c:pt idx="109">
                  <c:v>166.78598453637505</c:v>
                </c:pt>
                <c:pt idx="110">
                  <c:v>170.00274354146896</c:v>
                </c:pt>
                <c:pt idx="111">
                  <c:v>175.16442304745604</c:v>
                </c:pt>
                <c:pt idx="112">
                  <c:v>181.3329863900363</c:v>
                </c:pt>
                <c:pt idx="113">
                  <c:v>187.04253598422889</c:v>
                </c:pt>
                <c:pt idx="114">
                  <c:v>191.59305286315168</c:v>
                </c:pt>
                <c:pt idx="115">
                  <c:v>195.66383427242528</c:v>
                </c:pt>
                <c:pt idx="116">
                  <c:v>199.69364456515422</c:v>
                </c:pt>
                <c:pt idx="117">
                  <c:v>203.06839437317475</c:v>
                </c:pt>
                <c:pt idx="118">
                  <c:v>206.00185928692505</c:v>
                </c:pt>
                <c:pt idx="119">
                  <c:v>208.58150136409188</c:v>
                </c:pt>
              </c:numCache>
            </c:numRef>
          </c:val>
          <c:smooth val="1"/>
        </c:ser>
        <c:ser>
          <c:idx val="3"/>
          <c:order val="1"/>
          <c:tx>
            <c:strRef>
              <c:f>ИСХОДНЫЕ!$A$669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119"/>
              <c:layout/>
              <c:dLblPos val="b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20"/>
              <c:layout>
                <c:manualLayout>
                  <c:x val="0"/>
                  <c:y val="-4.873131313131313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ИСХОДНЫЕ!$N$915:$ED$915</c:f>
              <c:numCache>
                <c:formatCode>mmm\-yy</c:formatCode>
                <c:ptCount val="121"/>
                <c:pt idx="0">
                  <c:v>39814</c:v>
                </c:pt>
                <c:pt idx="1">
                  <c:v>39845</c:v>
                </c:pt>
                <c:pt idx="2">
                  <c:v>39873</c:v>
                </c:pt>
                <c:pt idx="3">
                  <c:v>39904</c:v>
                </c:pt>
                <c:pt idx="4">
                  <c:v>39934</c:v>
                </c:pt>
                <c:pt idx="5">
                  <c:v>39965</c:v>
                </c:pt>
                <c:pt idx="6">
                  <c:v>39995</c:v>
                </c:pt>
                <c:pt idx="7">
                  <c:v>40026</c:v>
                </c:pt>
                <c:pt idx="8">
                  <c:v>40057</c:v>
                </c:pt>
                <c:pt idx="9">
                  <c:v>40087</c:v>
                </c:pt>
                <c:pt idx="10">
                  <c:v>40118</c:v>
                </c:pt>
                <c:pt idx="11">
                  <c:v>40148</c:v>
                </c:pt>
                <c:pt idx="12">
                  <c:v>40179</c:v>
                </c:pt>
                <c:pt idx="13">
                  <c:v>40210</c:v>
                </c:pt>
                <c:pt idx="14">
                  <c:v>40238</c:v>
                </c:pt>
                <c:pt idx="15">
                  <c:v>40269</c:v>
                </c:pt>
                <c:pt idx="16">
                  <c:v>40299</c:v>
                </c:pt>
                <c:pt idx="17">
                  <c:v>40330</c:v>
                </c:pt>
                <c:pt idx="18">
                  <c:v>40360</c:v>
                </c:pt>
                <c:pt idx="19">
                  <c:v>40391</c:v>
                </c:pt>
                <c:pt idx="20">
                  <c:v>40422</c:v>
                </c:pt>
                <c:pt idx="21">
                  <c:v>40452</c:v>
                </c:pt>
                <c:pt idx="22">
                  <c:v>40483</c:v>
                </c:pt>
                <c:pt idx="23">
                  <c:v>40513</c:v>
                </c:pt>
                <c:pt idx="24">
                  <c:v>40544</c:v>
                </c:pt>
                <c:pt idx="25">
                  <c:v>40575</c:v>
                </c:pt>
                <c:pt idx="26">
                  <c:v>40603</c:v>
                </c:pt>
                <c:pt idx="27">
                  <c:v>40634</c:v>
                </c:pt>
                <c:pt idx="28">
                  <c:v>40664</c:v>
                </c:pt>
                <c:pt idx="29">
                  <c:v>40695</c:v>
                </c:pt>
                <c:pt idx="30">
                  <c:v>40725</c:v>
                </c:pt>
                <c:pt idx="31">
                  <c:v>40756</c:v>
                </c:pt>
                <c:pt idx="32">
                  <c:v>40787</c:v>
                </c:pt>
                <c:pt idx="33">
                  <c:v>40817</c:v>
                </c:pt>
                <c:pt idx="34">
                  <c:v>40848</c:v>
                </c:pt>
                <c:pt idx="35">
                  <c:v>40878</c:v>
                </c:pt>
                <c:pt idx="36">
                  <c:v>40909</c:v>
                </c:pt>
                <c:pt idx="37">
                  <c:v>40940</c:v>
                </c:pt>
                <c:pt idx="38">
                  <c:v>40969</c:v>
                </c:pt>
                <c:pt idx="39">
                  <c:v>41000</c:v>
                </c:pt>
                <c:pt idx="40">
                  <c:v>41030</c:v>
                </c:pt>
                <c:pt idx="41">
                  <c:v>41061</c:v>
                </c:pt>
                <c:pt idx="42">
                  <c:v>41091</c:v>
                </c:pt>
                <c:pt idx="43">
                  <c:v>41122</c:v>
                </c:pt>
                <c:pt idx="44">
                  <c:v>41153</c:v>
                </c:pt>
                <c:pt idx="45">
                  <c:v>41183</c:v>
                </c:pt>
                <c:pt idx="46">
                  <c:v>41214</c:v>
                </c:pt>
                <c:pt idx="47">
                  <c:v>41244</c:v>
                </c:pt>
                <c:pt idx="48">
                  <c:v>41275</c:v>
                </c:pt>
                <c:pt idx="49">
                  <c:v>41306</c:v>
                </c:pt>
                <c:pt idx="50">
                  <c:v>41334</c:v>
                </c:pt>
                <c:pt idx="51">
                  <c:v>41365</c:v>
                </c:pt>
                <c:pt idx="52">
                  <c:v>41395</c:v>
                </c:pt>
                <c:pt idx="53">
                  <c:v>41426</c:v>
                </c:pt>
                <c:pt idx="54">
                  <c:v>41456</c:v>
                </c:pt>
                <c:pt idx="55">
                  <c:v>41487</c:v>
                </c:pt>
                <c:pt idx="56">
                  <c:v>41518</c:v>
                </c:pt>
                <c:pt idx="57">
                  <c:v>41548</c:v>
                </c:pt>
                <c:pt idx="58">
                  <c:v>41579</c:v>
                </c:pt>
                <c:pt idx="59">
                  <c:v>41609</c:v>
                </c:pt>
                <c:pt idx="60">
                  <c:v>41640</c:v>
                </c:pt>
                <c:pt idx="61">
                  <c:v>41671</c:v>
                </c:pt>
                <c:pt idx="62">
                  <c:v>41699</c:v>
                </c:pt>
                <c:pt idx="63">
                  <c:v>41730</c:v>
                </c:pt>
                <c:pt idx="64">
                  <c:v>41760</c:v>
                </c:pt>
                <c:pt idx="65">
                  <c:v>41791</c:v>
                </c:pt>
                <c:pt idx="66">
                  <c:v>41821</c:v>
                </c:pt>
                <c:pt idx="67">
                  <c:v>41852</c:v>
                </c:pt>
                <c:pt idx="68">
                  <c:v>41883</c:v>
                </c:pt>
                <c:pt idx="69">
                  <c:v>41913</c:v>
                </c:pt>
                <c:pt idx="70">
                  <c:v>41944</c:v>
                </c:pt>
                <c:pt idx="71">
                  <c:v>41974</c:v>
                </c:pt>
                <c:pt idx="72">
                  <c:v>42005</c:v>
                </c:pt>
                <c:pt idx="73">
                  <c:v>42036</c:v>
                </c:pt>
                <c:pt idx="74">
                  <c:v>42064</c:v>
                </c:pt>
                <c:pt idx="75">
                  <c:v>42095</c:v>
                </c:pt>
                <c:pt idx="76">
                  <c:v>42125</c:v>
                </c:pt>
                <c:pt idx="77">
                  <c:v>42156</c:v>
                </c:pt>
                <c:pt idx="78">
                  <c:v>42186</c:v>
                </c:pt>
                <c:pt idx="79">
                  <c:v>42217</c:v>
                </c:pt>
                <c:pt idx="80">
                  <c:v>42248</c:v>
                </c:pt>
                <c:pt idx="81">
                  <c:v>42278</c:v>
                </c:pt>
                <c:pt idx="82">
                  <c:v>42309</c:v>
                </c:pt>
                <c:pt idx="83">
                  <c:v>42339</c:v>
                </c:pt>
                <c:pt idx="84">
                  <c:v>42370</c:v>
                </c:pt>
                <c:pt idx="85">
                  <c:v>42401</c:v>
                </c:pt>
                <c:pt idx="86">
                  <c:v>42430</c:v>
                </c:pt>
                <c:pt idx="87">
                  <c:v>42461</c:v>
                </c:pt>
                <c:pt idx="88">
                  <c:v>42491</c:v>
                </c:pt>
                <c:pt idx="89">
                  <c:v>42522</c:v>
                </c:pt>
                <c:pt idx="90">
                  <c:v>42552</c:v>
                </c:pt>
                <c:pt idx="91">
                  <c:v>42583</c:v>
                </c:pt>
                <c:pt idx="92">
                  <c:v>42614</c:v>
                </c:pt>
                <c:pt idx="93">
                  <c:v>42644</c:v>
                </c:pt>
                <c:pt idx="94">
                  <c:v>42675</c:v>
                </c:pt>
                <c:pt idx="95">
                  <c:v>42705</c:v>
                </c:pt>
                <c:pt idx="96">
                  <c:v>42736</c:v>
                </c:pt>
                <c:pt idx="97">
                  <c:v>42767</c:v>
                </c:pt>
                <c:pt idx="98">
                  <c:v>42795</c:v>
                </c:pt>
                <c:pt idx="99">
                  <c:v>42826</c:v>
                </c:pt>
                <c:pt idx="100">
                  <c:v>42856</c:v>
                </c:pt>
                <c:pt idx="101">
                  <c:v>42887</c:v>
                </c:pt>
                <c:pt idx="102">
                  <c:v>42917</c:v>
                </c:pt>
                <c:pt idx="103">
                  <c:v>42948</c:v>
                </c:pt>
                <c:pt idx="104">
                  <c:v>42979</c:v>
                </c:pt>
                <c:pt idx="105">
                  <c:v>43009</c:v>
                </c:pt>
                <c:pt idx="106">
                  <c:v>43040</c:v>
                </c:pt>
                <c:pt idx="107">
                  <c:v>43070</c:v>
                </c:pt>
                <c:pt idx="108">
                  <c:v>43101</c:v>
                </c:pt>
                <c:pt idx="109">
                  <c:v>43132</c:v>
                </c:pt>
                <c:pt idx="110">
                  <c:v>43160</c:v>
                </c:pt>
                <c:pt idx="111">
                  <c:v>43191</c:v>
                </c:pt>
                <c:pt idx="112">
                  <c:v>43221</c:v>
                </c:pt>
                <c:pt idx="113">
                  <c:v>43252</c:v>
                </c:pt>
                <c:pt idx="114">
                  <c:v>43282</c:v>
                </c:pt>
                <c:pt idx="115">
                  <c:v>43313</c:v>
                </c:pt>
                <c:pt idx="116">
                  <c:v>43344</c:v>
                </c:pt>
                <c:pt idx="117">
                  <c:v>43374</c:v>
                </c:pt>
                <c:pt idx="118">
                  <c:v>43405</c:v>
                </c:pt>
                <c:pt idx="119">
                  <c:v>43435</c:v>
                </c:pt>
                <c:pt idx="120">
                  <c:v>43466</c:v>
                </c:pt>
              </c:numCache>
            </c:numRef>
          </c:cat>
          <c:val>
            <c:numRef>
              <c:f>ИСХОДНЫЕ!$N$801:$ED$801</c:f>
              <c:numCache>
                <c:formatCode>0.0</c:formatCode>
                <c:ptCount val="121"/>
                <c:pt idx="0">
                  <c:v>10.965144406605864</c:v>
                </c:pt>
                <c:pt idx="1">
                  <c:v>12.637304540902027</c:v>
                </c:pt>
                <c:pt idx="2">
                  <c:v>14.751148491242496</c:v>
                </c:pt>
                <c:pt idx="3">
                  <c:v>17.140072387710806</c:v>
                </c:pt>
                <c:pt idx="4">
                  <c:v>19.543919341572952</c:v>
                </c:pt>
                <c:pt idx="5">
                  <c:v>21.724183148707027</c:v>
                </c:pt>
                <c:pt idx="6">
                  <c:v>23.721706875531755</c:v>
                </c:pt>
                <c:pt idx="7">
                  <c:v>25.504251205507671</c:v>
                </c:pt>
                <c:pt idx="8">
                  <c:v>26.986796077338532</c:v>
                </c:pt>
                <c:pt idx="9">
                  <c:v>28.251006998625595</c:v>
                </c:pt>
                <c:pt idx="10">
                  <c:v>29.303156942960442</c:v>
                </c:pt>
                <c:pt idx="11">
                  <c:v>30.089114650443832</c:v>
                </c:pt>
                <c:pt idx="12">
                  <c:v>30.513912618002877</c:v>
                </c:pt>
                <c:pt idx="13">
                  <c:v>30.539248242844351</c:v>
                </c:pt>
                <c:pt idx="14">
                  <c:v>30.476115879261194</c:v>
                </c:pt>
                <c:pt idx="15">
                  <c:v>30.605370654092933</c:v>
                </c:pt>
                <c:pt idx="16">
                  <c:v>30.857991630208421</c:v>
                </c:pt>
                <c:pt idx="17">
                  <c:v>31.275579568518658</c:v>
                </c:pt>
                <c:pt idx="18">
                  <c:v>31.924706390992945</c:v>
                </c:pt>
                <c:pt idx="19">
                  <c:v>32.324181765990524</c:v>
                </c:pt>
                <c:pt idx="20">
                  <c:v>32.264771317983254</c:v>
                </c:pt>
                <c:pt idx="21">
                  <c:v>32.349237918415483</c:v>
                </c:pt>
                <c:pt idx="22">
                  <c:v>32.861663476795961</c:v>
                </c:pt>
                <c:pt idx="23">
                  <c:v>33.349623289466109</c:v>
                </c:pt>
                <c:pt idx="24">
                  <c:v>33.33718052820231</c:v>
                </c:pt>
                <c:pt idx="25">
                  <c:v>32.823886594885323</c:v>
                </c:pt>
                <c:pt idx="26">
                  <c:v>32.216876364319717</c:v>
                </c:pt>
                <c:pt idx="27">
                  <c:v>31.80078235380638</c:v>
                </c:pt>
                <c:pt idx="28">
                  <c:v>31.531256792197947</c:v>
                </c:pt>
                <c:pt idx="29">
                  <c:v>31.26904535173307</c:v>
                </c:pt>
                <c:pt idx="30">
                  <c:v>30.843798823438668</c:v>
                </c:pt>
                <c:pt idx="31">
                  <c:v>30.205249866038557</c:v>
                </c:pt>
                <c:pt idx="32">
                  <c:v>29.743634151029685</c:v>
                </c:pt>
                <c:pt idx="33">
                  <c:v>29.72599804172102</c:v>
                </c:pt>
                <c:pt idx="34">
                  <c:v>29.954531902388531</c:v>
                </c:pt>
                <c:pt idx="35">
                  <c:v>30.21155883188808</c:v>
                </c:pt>
                <c:pt idx="36">
                  <c:v>30.029211324940658</c:v>
                </c:pt>
                <c:pt idx="37">
                  <c:v>29.251201630809931</c:v>
                </c:pt>
                <c:pt idx="38">
                  <c:v>28.50531756586512</c:v>
                </c:pt>
                <c:pt idx="39">
                  <c:v>27.993216911717351</c:v>
                </c:pt>
                <c:pt idx="40">
                  <c:v>27.461601052573169</c:v>
                </c:pt>
                <c:pt idx="41">
                  <c:v>27.03766261410998</c:v>
                </c:pt>
                <c:pt idx="42">
                  <c:v>26.726218781806711</c:v>
                </c:pt>
                <c:pt idx="43">
                  <c:v>26.521440293466313</c:v>
                </c:pt>
                <c:pt idx="44">
                  <c:v>26.488484744082459</c:v>
                </c:pt>
                <c:pt idx="45">
                  <c:v>26.269616947362618</c:v>
                </c:pt>
                <c:pt idx="46">
                  <c:v>25.575194891461322</c:v>
                </c:pt>
                <c:pt idx="47">
                  <c:v>24.451286006201155</c:v>
                </c:pt>
                <c:pt idx="48">
                  <c:v>22.974516907525548</c:v>
                </c:pt>
                <c:pt idx="49">
                  <c:v>21.266703730798369</c:v>
                </c:pt>
                <c:pt idx="50">
                  <c:v>19.833213484163394</c:v>
                </c:pt>
                <c:pt idx="51">
                  <c:v>18.971262629532383</c:v>
                </c:pt>
                <c:pt idx="52">
                  <c:v>18.370182905360135</c:v>
                </c:pt>
                <c:pt idx="53">
                  <c:v>17.931550234999754</c:v>
                </c:pt>
                <c:pt idx="54">
                  <c:v>17.722657412269768</c:v>
                </c:pt>
                <c:pt idx="55">
                  <c:v>17.521147514764408</c:v>
                </c:pt>
                <c:pt idx="56">
                  <c:v>17.239946284848813</c:v>
                </c:pt>
                <c:pt idx="57">
                  <c:v>17.012757361798716</c:v>
                </c:pt>
                <c:pt idx="58">
                  <c:v>16.861664015025589</c:v>
                </c:pt>
                <c:pt idx="59">
                  <c:v>16.712695519138041</c:v>
                </c:pt>
                <c:pt idx="60">
                  <c:v>16.632713229796138</c:v>
                </c:pt>
                <c:pt idx="61">
                  <c:v>16.907991473057002</c:v>
                </c:pt>
                <c:pt idx="62">
                  <c:v>17.667022404019626</c:v>
                </c:pt>
                <c:pt idx="63">
                  <c:v>18.744484656188568</c:v>
                </c:pt>
                <c:pt idx="64">
                  <c:v>19.747630902747822</c:v>
                </c:pt>
                <c:pt idx="65">
                  <c:v>20.246617338271125</c:v>
                </c:pt>
                <c:pt idx="66">
                  <c:v>20.336001232709602</c:v>
                </c:pt>
                <c:pt idx="67">
                  <c:v>20.361862772656149</c:v>
                </c:pt>
                <c:pt idx="68">
                  <c:v>20.344481661736147</c:v>
                </c:pt>
                <c:pt idx="69">
                  <c:v>20.529655865300541</c:v>
                </c:pt>
                <c:pt idx="70">
                  <c:v>21.416927465881702</c:v>
                </c:pt>
                <c:pt idx="71">
                  <c:v>23.486049712757438</c:v>
                </c:pt>
                <c:pt idx="72">
                  <c:v>27.463556099458948</c:v>
                </c:pt>
                <c:pt idx="73">
                  <c:v>32.555370300203435</c:v>
                </c:pt>
                <c:pt idx="74">
                  <c:v>36.432592732279282</c:v>
                </c:pt>
                <c:pt idx="75">
                  <c:v>38.277743155688739</c:v>
                </c:pt>
                <c:pt idx="76">
                  <c:v>38.981384722089295</c:v>
                </c:pt>
                <c:pt idx="77">
                  <c:v>39.603877504903053</c:v>
                </c:pt>
                <c:pt idx="78">
                  <c:v>40.628070076559027</c:v>
                </c:pt>
                <c:pt idx="79">
                  <c:v>42.258289593249806</c:v>
                </c:pt>
                <c:pt idx="80">
                  <c:v>44.582294959461393</c:v>
                </c:pt>
                <c:pt idx="81">
                  <c:v>47.138118661910447</c:v>
                </c:pt>
                <c:pt idx="82">
                  <c:v>49.518983422696685</c:v>
                </c:pt>
                <c:pt idx="83">
                  <c:v>52.032913362689882</c:v>
                </c:pt>
                <c:pt idx="84">
                  <c:v>55.071220490100927</c:v>
                </c:pt>
                <c:pt idx="85">
                  <c:v>58.474903296952739</c:v>
                </c:pt>
                <c:pt idx="86">
                  <c:v>61.868016389976518</c:v>
                </c:pt>
                <c:pt idx="87">
                  <c:v>64.933259387616459</c:v>
                </c:pt>
                <c:pt idx="88">
                  <c:v>67.762800526920273</c:v>
                </c:pt>
                <c:pt idx="89">
                  <c:v>70.506013311616528</c:v>
                </c:pt>
                <c:pt idx="90">
                  <c:v>73.136835439697407</c:v>
                </c:pt>
                <c:pt idx="91">
                  <c:v>75.688539700356188</c:v>
                </c:pt>
                <c:pt idx="92">
                  <c:v>78.105964426998426</c:v>
                </c:pt>
                <c:pt idx="93">
                  <c:v>80.599975520312512</c:v>
                </c:pt>
                <c:pt idx="94">
                  <c:v>83.371827519620098</c:v>
                </c:pt>
                <c:pt idx="95">
                  <c:v>86.025006287733603</c:v>
                </c:pt>
                <c:pt idx="96">
                  <c:v>88.102841321380751</c:v>
                </c:pt>
                <c:pt idx="97">
                  <c:v>89.796210768817303</c:v>
                </c:pt>
                <c:pt idx="98">
                  <c:v>91.714387372384337</c:v>
                </c:pt>
                <c:pt idx="99">
                  <c:v>94.372896988611103</c:v>
                </c:pt>
                <c:pt idx="100">
                  <c:v>97.8394441350585</c:v>
                </c:pt>
                <c:pt idx="101">
                  <c:v>101.66446086965648</c:v>
                </c:pt>
                <c:pt idx="102">
                  <c:v>105.48300705294753</c:v>
                </c:pt>
                <c:pt idx="103">
                  <c:v>109.36376656979263</c:v>
                </c:pt>
                <c:pt idx="104">
                  <c:v>113.00546623792459</c:v>
                </c:pt>
                <c:pt idx="105">
                  <c:v>115.54116452220109</c:v>
                </c:pt>
                <c:pt idx="106">
                  <c:v>116.87237187310748</c:v>
                </c:pt>
                <c:pt idx="107">
                  <c:v>117.7093881228955</c:v>
                </c:pt>
                <c:pt idx="108">
                  <c:v>118.31834450303562</c:v>
                </c:pt>
                <c:pt idx="109">
                  <c:v>118.83336338481321</c:v>
                </c:pt>
                <c:pt idx="110">
                  <c:v>119.2990365075981</c:v>
                </c:pt>
                <c:pt idx="111">
                  <c:v>119.60218198262559</c:v>
                </c:pt>
                <c:pt idx="112">
                  <c:v>120.02260371058979</c:v>
                </c:pt>
                <c:pt idx="113">
                  <c:v>120.53737108927953</c:v>
                </c:pt>
                <c:pt idx="114">
                  <c:v>120.9509049484454</c:v>
                </c:pt>
                <c:pt idx="115">
                  <c:v>121.40272444909243</c:v>
                </c:pt>
                <c:pt idx="116">
                  <c:v>122.06716126333532</c:v>
                </c:pt>
                <c:pt idx="117">
                  <c:v>123.08901736388708</c:v>
                </c:pt>
                <c:pt idx="118">
                  <c:v>124.44777645371197</c:v>
                </c:pt>
                <c:pt idx="119">
                  <c:v>125.79401163814512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977024"/>
        <c:axId val="116667520"/>
      </c:lineChart>
      <c:dateAx>
        <c:axId val="116977024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mmm\-yy" sourceLinked="1"/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667520"/>
        <c:crosses val="autoZero"/>
        <c:auto val="1"/>
        <c:lblOffset val="100"/>
        <c:baseTimeUnit val="months"/>
        <c:majorUnit val="12"/>
        <c:majorTimeUnit val="months"/>
      </c:dateAx>
      <c:valAx>
        <c:axId val="116667520"/>
        <c:scaling>
          <c:orientation val="minMax"/>
          <c:max val="250"/>
          <c:min val="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977024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.80318905509032945"/>
          <c:y val="0.53220224784271541"/>
          <c:w val="0.13156638892625691"/>
          <c:h val="0.21346996443992888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5835887107275863E-2"/>
          <c:y val="7.0558050032071842E-2"/>
          <c:w val="0.90415538335485846"/>
          <c:h val="0.69533922916466739"/>
        </c:manualLayout>
      </c:layout>
      <c:lineChart>
        <c:grouping val="standard"/>
        <c:varyColors val="0"/>
        <c:ser>
          <c:idx val="0"/>
          <c:order val="0"/>
          <c:tx>
            <c:strRef>
              <c:f>ИСХОДНЫЕ!$A$1145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ИСХОДНЫЕ!$C$1137:$L$1137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ИСХОДНЫЕ!$C$1637:$L$1637</c:f>
              <c:numCache>
                <c:formatCode>0.0</c:formatCode>
                <c:ptCount val="10"/>
                <c:pt idx="0">
                  <c:v>95</c:v>
                </c:pt>
                <c:pt idx="1">
                  <c:v>101.64999999999999</c:v>
                </c:pt>
                <c:pt idx="2">
                  <c:v>108.76549999999999</c:v>
                </c:pt>
                <c:pt idx="3">
                  <c:v>115.29142999999998</c:v>
                </c:pt>
                <c:pt idx="4">
                  <c:v>119.90308719999997</c:v>
                </c:pt>
                <c:pt idx="5">
                  <c:v>123.50017981599999</c:v>
                </c:pt>
                <c:pt idx="6">
                  <c:v>111.1501618344</c:v>
                </c:pt>
                <c:pt idx="7">
                  <c:v>105.59265374267999</c:v>
                </c:pt>
                <c:pt idx="8">
                  <c:v>106.64858028010678</c:v>
                </c:pt>
                <c:pt idx="9">
                  <c:v>109.42144336738954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ИСХОДНЫЕ!$A$1146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ИСХОДНЫЕ!$C$1137:$L$1137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ИСХОДНЫЕ!$C$1638:$L$1638</c:f>
              <c:numCache>
                <c:formatCode>0.0</c:formatCode>
                <c:ptCount val="10"/>
                <c:pt idx="0">
                  <c:v>89.4</c:v>
                </c:pt>
                <c:pt idx="1">
                  <c:v>103.9722</c:v>
                </c:pt>
                <c:pt idx="2">
                  <c:v>111.87408719999999</c:v>
                </c:pt>
                <c:pt idx="3">
                  <c:v>133.91328237839997</c:v>
                </c:pt>
                <c:pt idx="4">
                  <c:v>136.18980817883278</c:v>
                </c:pt>
                <c:pt idx="5">
                  <c:v>138.91360434240943</c:v>
                </c:pt>
                <c:pt idx="6">
                  <c:v>125.43898472119571</c:v>
                </c:pt>
                <c:pt idx="7">
                  <c:v>119.91966939346308</c:v>
                </c:pt>
                <c:pt idx="8">
                  <c:v>124.23677749162775</c:v>
                </c:pt>
                <c:pt idx="9">
                  <c:v>130.94556347617566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702208"/>
        <c:axId val="116724480"/>
      </c:lineChart>
      <c:catAx>
        <c:axId val="116702208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724480"/>
        <c:crosses val="autoZero"/>
        <c:auto val="1"/>
        <c:lblAlgn val="ctr"/>
        <c:lblOffset val="100"/>
        <c:noMultiLvlLbl val="0"/>
      </c:catAx>
      <c:valAx>
        <c:axId val="116724480"/>
        <c:scaling>
          <c:orientation val="minMax"/>
          <c:max val="150"/>
          <c:min val="8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70220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7.1629929594094185E-2"/>
          <c:y val="8.9585979171958333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6752641311236315E-2"/>
          <c:y val="7.10594315245478E-2"/>
          <c:w val="0.90187847797966825"/>
          <c:h val="0.69317432704632853"/>
        </c:manualLayout>
      </c:layout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ИСХОДНЫЕ!$C$1633:$L$1633</c:f>
              <c:numCache>
                <c:formatCode>0.0</c:formatCode>
                <c:ptCount val="10"/>
                <c:pt idx="0">
                  <c:v>86.5</c:v>
                </c:pt>
                <c:pt idx="1">
                  <c:v>91.9495</c:v>
                </c:pt>
                <c:pt idx="2">
                  <c:v>101.88004599999999</c:v>
                </c:pt>
                <c:pt idx="3">
                  <c:v>108.80563713122943</c:v>
                </c:pt>
                <c:pt idx="4">
                  <c:v>109.67608222827927</c:v>
                </c:pt>
                <c:pt idx="5">
                  <c:v>108.03094099485509</c:v>
                </c:pt>
                <c:pt idx="6">
                  <c:v>97.119815954374729</c:v>
                </c:pt>
                <c:pt idx="7">
                  <c:v>96.962929987656281</c:v>
                </c:pt>
                <c:pt idx="8">
                  <c:v>101.61715062706378</c:v>
                </c:pt>
                <c:pt idx="9">
                  <c:v>105.98668810402752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b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b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ИСХОДНЫЕ!$C$1634:$L$1634</c:f>
              <c:numCache>
                <c:formatCode>0.0</c:formatCode>
                <c:ptCount val="10"/>
                <c:pt idx="0">
                  <c:v>71.5</c:v>
                </c:pt>
                <c:pt idx="1">
                  <c:v>82.97740346131647</c:v>
                </c:pt>
                <c:pt idx="2">
                  <c:v>123.98725788698474</c:v>
                </c:pt>
                <c:pt idx="3">
                  <c:v>149.70956938742549</c:v>
                </c:pt>
                <c:pt idx="4">
                  <c:v>73.80681770800075</c:v>
                </c:pt>
                <c:pt idx="5">
                  <c:v>73.057090048935507</c:v>
                </c:pt>
                <c:pt idx="6">
                  <c:v>68.162265015656828</c:v>
                </c:pt>
                <c:pt idx="7">
                  <c:v>82.858324036958578</c:v>
                </c:pt>
                <c:pt idx="8">
                  <c:v>94.86799143624539</c:v>
                </c:pt>
                <c:pt idx="9">
                  <c:v>97.049955239279029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763264"/>
        <c:axId val="116769152"/>
      </c:lineChart>
      <c:catAx>
        <c:axId val="116763264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769152"/>
        <c:crosses val="autoZero"/>
        <c:auto val="1"/>
        <c:lblAlgn val="ctr"/>
        <c:lblOffset val="100"/>
        <c:noMultiLvlLbl val="0"/>
      </c:catAx>
      <c:valAx>
        <c:axId val="116769152"/>
        <c:scaling>
          <c:orientation val="minMax"/>
          <c:min val="6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763264"/>
        <c:crosses val="autoZero"/>
        <c:crossBetween val="between"/>
        <c:majorUnit val="20"/>
      </c:valAx>
    </c:plotArea>
    <c:legend>
      <c:legendPos val="r"/>
      <c:layout>
        <c:manualLayout>
          <c:xMode val="edge"/>
          <c:yMode val="edge"/>
          <c:x val="7.6357548850367857E-2"/>
          <c:y val="8.0289957454914906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1137323112388729"/>
          <c:y val="3.2728282828282829E-2"/>
          <c:w val="0.86515066542812247"/>
          <c:h val="0.7163078603613855"/>
        </c:manualLayout>
      </c:layout>
      <c:lineChart>
        <c:grouping val="standard"/>
        <c:varyColors val="0"/>
        <c:ser>
          <c:idx val="0"/>
          <c:order val="0"/>
          <c:tx>
            <c:strRef>
              <c:f>'ИСХОДНЫЕ тренды'!$N$414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cat>
            <c:strRef>
              <c:f>'ИСХОДНЫЕ тренды'!$P$411:$Y$411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'ИСХОДНЫЕ тренды'!$P$329:$Y$329</c:f>
              <c:numCache>
                <c:formatCode>0.0</c:formatCode>
                <c:ptCount val="10"/>
                <c:pt idx="0">
                  <c:v>86.8</c:v>
                </c:pt>
                <c:pt idx="1">
                  <c:v>91.14</c:v>
                </c:pt>
                <c:pt idx="2">
                  <c:v>95.788139999999999</c:v>
                </c:pt>
                <c:pt idx="3">
                  <c:v>98.182843500000004</c:v>
                </c:pt>
                <c:pt idx="4">
                  <c:v>98.281026343500002</c:v>
                </c:pt>
                <c:pt idx="5">
                  <c:v>96.020562737599505</c:v>
                </c:pt>
                <c:pt idx="6">
                  <c:v>92.275760790833118</c:v>
                </c:pt>
                <c:pt idx="7">
                  <c:v>90.245694053434789</c:v>
                </c:pt>
                <c:pt idx="8">
                  <c:v>88.982254336686694</c:v>
                </c:pt>
                <c:pt idx="9">
                  <c:v>93.698313816531083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'ИСХОДНЫЕ тренды'!$N$415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cat>
            <c:strRef>
              <c:f>'ИСХОДНЫЕ тренды'!$P$411:$Y$411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'ИСХОДНЫЕ тренды'!$P$330:$Y$330</c:f>
              <c:numCache>
                <c:formatCode>0.0</c:formatCode>
                <c:ptCount val="10"/>
                <c:pt idx="0">
                  <c:v>76</c:v>
                </c:pt>
                <c:pt idx="1">
                  <c:v>94.772000000000006</c:v>
                </c:pt>
                <c:pt idx="2">
                  <c:v>130.59581600000001</c:v>
                </c:pt>
                <c:pt idx="3">
                  <c:v>125.11079172800001</c:v>
                </c:pt>
                <c:pt idx="4">
                  <c:v>98.337082298208003</c:v>
                </c:pt>
                <c:pt idx="5">
                  <c:v>80.243059155337718</c:v>
                </c:pt>
                <c:pt idx="6">
                  <c:v>78.076496558143589</c:v>
                </c:pt>
                <c:pt idx="7">
                  <c:v>87.445676145120828</c:v>
                </c:pt>
                <c:pt idx="8">
                  <c:v>112.19280249419003</c:v>
                </c:pt>
                <c:pt idx="9">
                  <c:v>116.23174338398087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860032"/>
        <c:axId val="116861568"/>
      </c:lineChart>
      <c:catAx>
        <c:axId val="116860032"/>
        <c:scaling>
          <c:orientation val="minMax"/>
        </c:scaling>
        <c:delete val="0"/>
        <c:axPos val="b"/>
        <c:majorGridlines>
          <c:spPr>
            <a:ln w="9525">
              <a:solidFill>
                <a:schemeClr val="bg1">
                  <a:lumMod val="75000"/>
                </a:schemeClr>
              </a:solidFill>
            </a:ln>
            <a:effectLst/>
          </c:spPr>
        </c:majorGridlines>
        <c:majorTickMark val="out"/>
        <c:minorTickMark val="none"/>
        <c:tickLblPos val="nextTo"/>
        <c:spPr>
          <a:ln>
            <a:solidFill>
              <a:schemeClr val="tx1">
                <a:tint val="75000"/>
                <a:shade val="95000"/>
                <a:satMod val="105000"/>
              </a:schemeClr>
            </a:solidFill>
          </a:ln>
        </c:spPr>
        <c:txPr>
          <a:bodyPr rot="-5400000" vert="horz"/>
          <a:lstStyle/>
          <a:p>
            <a:pPr>
              <a:defRPr/>
            </a:pPr>
            <a:endParaRPr lang="ru-RU"/>
          </a:p>
        </c:txPr>
        <c:crossAx val="116861568"/>
        <c:crosses val="autoZero"/>
        <c:auto val="1"/>
        <c:lblAlgn val="ctr"/>
        <c:lblOffset val="100"/>
        <c:noMultiLvlLbl val="0"/>
      </c:catAx>
      <c:valAx>
        <c:axId val="116861568"/>
        <c:scaling>
          <c:orientation val="minMax"/>
          <c:max val="140"/>
          <c:min val="70"/>
        </c:scaling>
        <c:delete val="0"/>
        <c:axPos val="l"/>
        <c:majorGridlines>
          <c:spPr>
            <a:ln w="9525">
              <a:solidFill>
                <a:schemeClr val="bg1">
                  <a:lumMod val="75000"/>
                </a:schemeClr>
              </a:solidFill>
            </a:ln>
            <a:effectLst/>
          </c:spPr>
        </c:majorGridlines>
        <c:numFmt formatCode="0" sourceLinked="0"/>
        <c:majorTickMark val="out"/>
        <c:minorTickMark val="none"/>
        <c:tickLblPos val="nextTo"/>
        <c:crossAx val="116860032"/>
        <c:crosses val="autoZero"/>
        <c:crossBetween val="between"/>
        <c:majorUnit val="10"/>
      </c:valAx>
    </c:plotArea>
    <c:legend>
      <c:legendPos val="b"/>
      <c:layout>
        <c:manualLayout>
          <c:xMode val="edge"/>
          <c:yMode val="edge"/>
          <c:x val="0.10808893885818963"/>
          <c:y val="5.5904718059436094E-2"/>
          <c:w val="0.13309630811699105"/>
          <c:h val="0.1779979997459995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696406004804955"/>
          <c:y val="3.2728282828282829E-2"/>
          <c:w val="0.86956080875778075"/>
          <c:h val="0.7163078603613855"/>
        </c:manualLayout>
      </c:layout>
      <c:lineChart>
        <c:grouping val="standard"/>
        <c:varyColors val="0"/>
        <c:ser>
          <c:idx val="0"/>
          <c:order val="0"/>
          <c:tx>
            <c:strRef>
              <c:f>'ИСХОДНЫЕ тренды'!$N$414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cat>
            <c:strRef>
              <c:f>'ИСХОДНЫЕ тренды'!$P$411:$Y$411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'ИСХОДНЫЕ тренды'!$P$350:$Y$350</c:f>
              <c:numCache>
                <c:formatCode>0.0</c:formatCode>
                <c:ptCount val="10"/>
                <c:pt idx="0">
                  <c:v>93.447737909516377</c:v>
                </c:pt>
                <c:pt idx="1">
                  <c:v>91.107644305772226</c:v>
                </c:pt>
                <c:pt idx="2">
                  <c:v>97.191887675507019</c:v>
                </c:pt>
                <c:pt idx="3">
                  <c:v>102.49609984399376</c:v>
                </c:pt>
                <c:pt idx="4">
                  <c:v>109.98439937597504</c:v>
                </c:pt>
                <c:pt idx="5">
                  <c:v>131.3572542901716</c:v>
                </c:pt>
                <c:pt idx="6">
                  <c:v>133.07332293291731</c:v>
                </c:pt>
                <c:pt idx="7">
                  <c:v>125.11700468018722</c:v>
                </c:pt>
                <c:pt idx="8">
                  <c:v>123.55694227769112</c:v>
                </c:pt>
                <c:pt idx="9">
                  <c:v>117.50265210608424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'ИСХОДНЫЕ тренды'!$N$415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cat>
            <c:strRef>
              <c:f>'ИСХОДНЫЕ тренды'!$P$411:$Y$411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'ИСХОДНЫЕ тренды'!$P$351:$Y$351</c:f>
              <c:numCache>
                <c:formatCode>0.0</c:formatCode>
                <c:ptCount val="10"/>
                <c:pt idx="0">
                  <c:v>89.9</c:v>
                </c:pt>
                <c:pt idx="1">
                  <c:v>75.246300000000005</c:v>
                </c:pt>
                <c:pt idx="2">
                  <c:v>79.685831700000008</c:v>
                </c:pt>
                <c:pt idx="3">
                  <c:v>71.398505203200003</c:v>
                </c:pt>
                <c:pt idx="4">
                  <c:v>105.5983891955328</c:v>
                </c:pt>
                <c:pt idx="5">
                  <c:v>142.13543185718714</c:v>
                </c:pt>
                <c:pt idx="6">
                  <c:v>158.48100652076366</c:v>
                </c:pt>
                <c:pt idx="7">
                  <c:v>141.99898184260422</c:v>
                </c:pt>
                <c:pt idx="8">
                  <c:v>99.541286271665555</c:v>
                </c:pt>
                <c:pt idx="9">
                  <c:v>97.550460546232244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874240"/>
        <c:axId val="116888320"/>
      </c:lineChart>
      <c:catAx>
        <c:axId val="116874240"/>
        <c:scaling>
          <c:orientation val="minMax"/>
        </c:scaling>
        <c:delete val="0"/>
        <c:axPos val="b"/>
        <c:majorGridlines>
          <c:spPr>
            <a:ln w="9525">
              <a:solidFill>
                <a:schemeClr val="bg1">
                  <a:lumMod val="75000"/>
                </a:schemeClr>
              </a:solidFill>
            </a:ln>
            <a:effectLst/>
          </c:spPr>
        </c:majorGridlines>
        <c:majorTickMark val="out"/>
        <c:minorTickMark val="none"/>
        <c:tickLblPos val="nextTo"/>
        <c:spPr>
          <a:ln>
            <a:solidFill>
              <a:schemeClr val="tx1">
                <a:tint val="75000"/>
                <a:shade val="95000"/>
                <a:satMod val="105000"/>
              </a:schemeClr>
            </a:solidFill>
          </a:ln>
        </c:spPr>
        <c:txPr>
          <a:bodyPr rot="-5400000" vert="horz"/>
          <a:lstStyle/>
          <a:p>
            <a:pPr>
              <a:defRPr/>
            </a:pPr>
            <a:endParaRPr lang="ru-RU"/>
          </a:p>
        </c:txPr>
        <c:crossAx val="116888320"/>
        <c:crosses val="autoZero"/>
        <c:auto val="1"/>
        <c:lblAlgn val="ctr"/>
        <c:lblOffset val="100"/>
        <c:noMultiLvlLbl val="0"/>
      </c:catAx>
      <c:valAx>
        <c:axId val="116888320"/>
        <c:scaling>
          <c:orientation val="minMax"/>
          <c:max val="160"/>
          <c:min val="60"/>
        </c:scaling>
        <c:delete val="0"/>
        <c:axPos val="l"/>
        <c:majorGridlines>
          <c:spPr>
            <a:ln w="9525">
              <a:solidFill>
                <a:schemeClr val="bg1">
                  <a:lumMod val="75000"/>
                </a:schemeClr>
              </a:solidFill>
            </a:ln>
            <a:effectLst/>
          </c:spPr>
        </c:majorGridlines>
        <c:numFmt formatCode="0" sourceLinked="0"/>
        <c:majorTickMark val="out"/>
        <c:minorTickMark val="none"/>
        <c:tickLblPos val="nextTo"/>
        <c:crossAx val="116874240"/>
        <c:crosses val="autoZero"/>
        <c:crossBetween val="between"/>
        <c:majorUnit val="20"/>
      </c:valAx>
    </c:plotArea>
    <c:legend>
      <c:legendPos val="b"/>
      <c:layout>
        <c:manualLayout>
          <c:xMode val="edge"/>
          <c:yMode val="edge"/>
          <c:x val="0.10602980233732716"/>
          <c:y val="4.3528940182880352E-2"/>
          <c:w val="0.14714621333276534"/>
          <c:h val="0.18823144208788417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'[ind_prom_sub (1).xls]к предыдущему году'!$A$102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>
                <c:manualLayout>
                  <c:x val="-1.5275139400681616E-2"/>
                  <c:y val="-2.5226752752794904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109</a:t>
                    </a:r>
                  </a:p>
                </c:rich>
              </c:tx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#,##0.0" sourceLinked="0"/>
            <c:dLblPos val="ctr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'[ind_prom_sub (1).xls]к предыдущему году'!$C$101:$L$101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'[ind_prom_sub (1).xls]к предыдущему году'!$C$102:$L$102</c:f>
              <c:numCache>
                <c:formatCode>General</c:formatCode>
                <c:ptCount val="10"/>
                <c:pt idx="0">
                  <c:v>89.3</c:v>
                </c:pt>
                <c:pt idx="1">
                  <c:v>95.818899999999999</c:v>
                </c:pt>
                <c:pt idx="2">
                  <c:v>100.60984500000001</c:v>
                </c:pt>
                <c:pt idx="3">
                  <c:v>104.03057973</c:v>
                </c:pt>
                <c:pt idx="4">
                  <c:v>104.44670204892</c:v>
                </c:pt>
                <c:pt idx="5">
                  <c:v>106.22229598375201</c:v>
                </c:pt>
                <c:pt idx="6">
                  <c:v>102.610737920304</c:v>
                </c:pt>
                <c:pt idx="7">
                  <c:v>103.739456037427</c:v>
                </c:pt>
                <c:pt idx="8">
                  <c:v>105.917984614213</c:v>
                </c:pt>
                <c:pt idx="9">
                  <c:v>108.98960616802501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'[ind_prom_sub (1).xls]к предыдущему году'!$A$103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tx>
                <c:rich>
                  <a:bodyPr/>
                  <a:lstStyle/>
                  <a:p>
                    <a:r>
                      <a:rPr lang="en-US"/>
                      <a:t>124</a:t>
                    </a:r>
                  </a:p>
                </c:rich>
              </c:tx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numFmt formatCode="#,##0.0" sourceLinked="0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'[ind_prom_sub (1).xls]к предыдущему году'!$C$101:$L$101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'[ind_prom_sub (1).xls]к предыдущему году'!$C$103:$L$103</c:f>
              <c:numCache>
                <c:formatCode>General</c:formatCode>
                <c:ptCount val="10"/>
                <c:pt idx="0">
                  <c:v>90.5</c:v>
                </c:pt>
                <c:pt idx="1">
                  <c:v>101.179</c:v>
                </c:pt>
                <c:pt idx="2">
                  <c:v>106.845024</c:v>
                </c:pt>
                <c:pt idx="3">
                  <c:v>108.234009312</c:v>
                </c:pt>
                <c:pt idx="4">
                  <c:v>110.9398595448</c:v>
                </c:pt>
                <c:pt idx="5">
                  <c:v>115.044634347958</c:v>
                </c:pt>
                <c:pt idx="6">
                  <c:v>118.035794841005</c:v>
                </c:pt>
                <c:pt idx="7">
                  <c:v>117.799723251323</c:v>
                </c:pt>
                <c:pt idx="8">
                  <c:v>118.97772048383599</c:v>
                </c:pt>
                <c:pt idx="9">
                  <c:v>123.97478474415701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8535808"/>
        <c:axId val="108537344"/>
      </c:lineChart>
      <c:catAx>
        <c:axId val="108535808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08537344"/>
        <c:crosses val="autoZero"/>
        <c:auto val="1"/>
        <c:lblAlgn val="ctr"/>
        <c:lblOffset val="100"/>
        <c:noMultiLvlLbl val="0"/>
      </c:catAx>
      <c:valAx>
        <c:axId val="108537344"/>
        <c:scaling>
          <c:orientation val="minMax"/>
          <c:max val="130"/>
          <c:min val="8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General" sourceLinked="1"/>
        <c:majorTickMark val="out"/>
        <c:minorTickMark val="none"/>
        <c:tickLblPos val="nextTo"/>
        <c:crossAx val="108535808"/>
        <c:crosses val="autoZero"/>
        <c:crossBetween val="between"/>
        <c:majorUnit val="10"/>
      </c:valAx>
    </c:plotArea>
    <c:legend>
      <c:legendPos val="r"/>
      <c:layout>
        <c:manualLayout>
          <c:xMode val="edge"/>
          <c:yMode val="edge"/>
          <c:x val="9.777632905847955E-2"/>
          <c:y val="0.10292259334518666"/>
          <c:w val="0.1221130846824789"/>
          <c:h val="0.14557176516154019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>
                <c:manualLayout>
                  <c:x val="-1.3426579223663939E-2"/>
                  <c:y val="-6.1048765914710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ИСХОДНЫЕ!$C$1142:$L$1142</c:f>
              <c:numCache>
                <c:formatCode>General</c:formatCode>
                <c:ptCount val="10"/>
                <c:pt idx="0">
                  <c:v>84.8</c:v>
                </c:pt>
                <c:pt idx="1">
                  <c:v>93.8</c:v>
                </c:pt>
                <c:pt idx="2">
                  <c:v>101.3</c:v>
                </c:pt>
                <c:pt idx="3">
                  <c:v>106.5</c:v>
                </c:pt>
                <c:pt idx="4">
                  <c:v>107</c:v>
                </c:pt>
                <c:pt idx="5">
                  <c:v>109.2</c:v>
                </c:pt>
                <c:pt idx="6">
                  <c:v>107.8</c:v>
                </c:pt>
                <c:pt idx="7">
                  <c:v>110.6</c:v>
                </c:pt>
                <c:pt idx="8">
                  <c:v>113.4</c:v>
                </c:pt>
                <c:pt idx="9">
                  <c:v>116.3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>
                <c:manualLayout>
                  <c:x val="-1.2903653191606686E-2"/>
                  <c:y val="-4.871625572866014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ИСХОДНЫЕ!$C$1143:$L$1143</c:f>
              <c:numCache>
                <c:formatCode>General</c:formatCode>
                <c:ptCount val="10"/>
                <c:pt idx="0">
                  <c:v>90.6</c:v>
                </c:pt>
                <c:pt idx="1">
                  <c:v>101.6</c:v>
                </c:pt>
                <c:pt idx="2">
                  <c:v>107.9</c:v>
                </c:pt>
                <c:pt idx="3">
                  <c:v>109.7</c:v>
                </c:pt>
                <c:pt idx="4">
                  <c:v>112.2</c:v>
                </c:pt>
                <c:pt idx="5">
                  <c:v>115.8</c:v>
                </c:pt>
                <c:pt idx="6">
                  <c:v>118.5</c:v>
                </c:pt>
                <c:pt idx="7">
                  <c:v>119.2</c:v>
                </c:pt>
                <c:pt idx="8">
                  <c:v>122.4</c:v>
                </c:pt>
                <c:pt idx="9">
                  <c:v>127.7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8572672"/>
        <c:axId val="108574208"/>
      </c:lineChart>
      <c:catAx>
        <c:axId val="108572672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08574208"/>
        <c:crosses val="autoZero"/>
        <c:auto val="1"/>
        <c:lblAlgn val="ctr"/>
        <c:lblOffset val="100"/>
        <c:noMultiLvlLbl val="0"/>
      </c:catAx>
      <c:valAx>
        <c:axId val="108574208"/>
        <c:scaling>
          <c:orientation val="minMax"/>
          <c:max val="130"/>
          <c:min val="8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08572672"/>
        <c:crosses val="autoZero"/>
        <c:crossBetween val="between"/>
        <c:majorUnit val="10"/>
      </c:valAx>
    </c:plotArea>
    <c:legend>
      <c:legendPos val="r"/>
      <c:layout>
        <c:manualLayout>
          <c:xMode val="edge"/>
          <c:yMode val="edge"/>
          <c:x val="5.5015691543790463E-2"/>
          <c:y val="8.4873079121158254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>
                <c:manualLayout>
                  <c:x val="-1.1535459603131339E-3"/>
                  <c:y val="-3.703566865620411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ИСХОДНЫЕ!$B$1397:$K$1397</c:f>
              <c:numCache>
                <c:formatCode>0.0</c:formatCode>
                <c:ptCount val="10"/>
                <c:pt idx="0">
                  <c:v>100.29999999999998</c:v>
                </c:pt>
                <c:pt idx="1">
                  <c:v>103.50959999999999</c:v>
                </c:pt>
                <c:pt idx="2">
                  <c:v>107.54647440000002</c:v>
                </c:pt>
                <c:pt idx="3">
                  <c:v>111.95587985040002</c:v>
                </c:pt>
                <c:pt idx="4">
                  <c:v>112.6276151295024</c:v>
                </c:pt>
                <c:pt idx="5">
                  <c:v>115.44330550773995</c:v>
                </c:pt>
                <c:pt idx="6">
                  <c:v>117.75217161789476</c:v>
                </c:pt>
                <c:pt idx="7">
                  <c:v>120.5782237367242</c:v>
                </c:pt>
                <c:pt idx="8">
                  <c:v>123.43885178831955</c:v>
                </c:pt>
                <c:pt idx="9">
                  <c:v>129.11836999360776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>
                <c:manualLayout>
                  <c:x val="-1.9335179574438532E-3"/>
                  <c:y val="6.156227745425343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ИСХОДНЫЕ!$B$1398:$K$1398</c:f>
              <c:numCache>
                <c:formatCode>0.0</c:formatCode>
                <c:ptCount val="10"/>
                <c:pt idx="0">
                  <c:v>98.5</c:v>
                </c:pt>
                <c:pt idx="1">
                  <c:v>111.7975</c:v>
                </c:pt>
                <c:pt idx="2">
                  <c:v>111.7975</c:v>
                </c:pt>
                <c:pt idx="3">
                  <c:v>111.4621075</c:v>
                </c:pt>
                <c:pt idx="4">
                  <c:v>110.68187274750001</c:v>
                </c:pt>
                <c:pt idx="5">
                  <c:v>114.11301080267251</c:v>
                </c:pt>
                <c:pt idx="6">
                  <c:v>117.30817510514734</c:v>
                </c:pt>
                <c:pt idx="7">
                  <c:v>120.35818765788119</c:v>
                </c:pt>
                <c:pt idx="8">
                  <c:v>116.80374065272183</c:v>
                </c:pt>
                <c:pt idx="9">
                  <c:v>122.79688050003884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8592512"/>
        <c:axId val="108180608"/>
      </c:lineChart>
      <c:catAx>
        <c:axId val="108592512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08180608"/>
        <c:crosses val="autoZero"/>
        <c:auto val="1"/>
        <c:lblAlgn val="ctr"/>
        <c:lblOffset val="100"/>
        <c:noMultiLvlLbl val="0"/>
      </c:catAx>
      <c:valAx>
        <c:axId val="108180608"/>
        <c:scaling>
          <c:orientation val="minMax"/>
          <c:max val="130"/>
          <c:min val="10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08592512"/>
        <c:crosses val="autoZero"/>
        <c:crossBetween val="between"/>
        <c:majorUnit val="10"/>
      </c:valAx>
    </c:plotArea>
    <c:legend>
      <c:legendPos val="r"/>
      <c:layout>
        <c:manualLayout>
          <c:xMode val="edge"/>
          <c:yMode val="edge"/>
          <c:x val="6.0267687797245333E-2"/>
          <c:y val="7.0039449453898908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ИСХОДНЫЕ!$B$1419:$K$1419</c:f>
              <c:numCache>
                <c:formatCode>0.0</c:formatCode>
                <c:ptCount val="10"/>
                <c:pt idx="0">
                  <c:v>84.1</c:v>
                </c:pt>
                <c:pt idx="1">
                  <c:v>86.707099999999997</c:v>
                </c:pt>
                <c:pt idx="2">
                  <c:v>92.34306149999999</c:v>
                </c:pt>
                <c:pt idx="3">
                  <c:v>97.698959067000004</c:v>
                </c:pt>
                <c:pt idx="4">
                  <c:v>92.618613195516005</c:v>
                </c:pt>
                <c:pt idx="5">
                  <c:v>92.989087648298081</c:v>
                </c:pt>
                <c:pt idx="6">
                  <c:v>87.130775126455305</c:v>
                </c:pt>
                <c:pt idx="7">
                  <c:v>87.827821327466935</c:v>
                </c:pt>
                <c:pt idx="8">
                  <c:v>91.773016629794967</c:v>
                </c:pt>
                <c:pt idx="9">
                  <c:v>103.31522387476841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ИСХОДНЫЕ!$B$1420:$K$1420</c:f>
              <c:numCache>
                <c:formatCode>0.0</c:formatCode>
                <c:ptCount val="10"/>
                <c:pt idx="0">
                  <c:v>82.2</c:v>
                </c:pt>
                <c:pt idx="1">
                  <c:v>88.036200000000022</c:v>
                </c:pt>
                <c:pt idx="2">
                  <c:v>91.205503200000024</c:v>
                </c:pt>
                <c:pt idx="3">
                  <c:v>92.755996754400016</c:v>
                </c:pt>
                <c:pt idx="4">
                  <c:v>98.043088569400837</c:v>
                </c:pt>
                <c:pt idx="5">
                  <c:v>89.611382952432365</c:v>
                </c:pt>
                <c:pt idx="6">
                  <c:v>106.81676847929938</c:v>
                </c:pt>
                <c:pt idx="7">
                  <c:v>125.72333650013536</c:v>
                </c:pt>
                <c:pt idx="8">
                  <c:v>134.96537238445893</c:v>
                </c:pt>
                <c:pt idx="9">
                  <c:v>143.51233393413361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8198912"/>
        <c:axId val="109908736"/>
      </c:lineChart>
      <c:catAx>
        <c:axId val="108198912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09908736"/>
        <c:crosses val="autoZero"/>
        <c:auto val="1"/>
        <c:lblAlgn val="ctr"/>
        <c:lblOffset val="100"/>
        <c:noMultiLvlLbl val="0"/>
      </c:catAx>
      <c:valAx>
        <c:axId val="109908736"/>
        <c:scaling>
          <c:orientation val="minMax"/>
          <c:max val="150"/>
          <c:min val="8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08198912"/>
        <c:crosses val="autoZero"/>
        <c:crossBetween val="between"/>
        <c:majorUnit val="10"/>
      </c:valAx>
    </c:plotArea>
    <c:legend>
      <c:legendPos val="r"/>
      <c:layout>
        <c:manualLayout>
          <c:xMode val="edge"/>
          <c:yMode val="edge"/>
          <c:x val="8.8021996200736988E-2"/>
          <c:y val="0.10645200977901956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ИСХОДНЫЕ!$B$1442:$K$1442</c:f>
              <c:numCache>
                <c:formatCode>0.0</c:formatCode>
                <c:ptCount val="10"/>
                <c:pt idx="0">
                  <c:v>76.900000000000006</c:v>
                </c:pt>
                <c:pt idx="1">
                  <c:v>87.204599999999999</c:v>
                </c:pt>
                <c:pt idx="2">
                  <c:v>96.099469200000001</c:v>
                </c:pt>
                <c:pt idx="3">
                  <c:v>92.447689370399999</c:v>
                </c:pt>
                <c:pt idx="4">
                  <c:v>99.843504520031985</c:v>
                </c:pt>
                <c:pt idx="5">
                  <c:v>94.551798780470307</c:v>
                </c:pt>
                <c:pt idx="6">
                  <c:v>91.337037621934314</c:v>
                </c:pt>
                <c:pt idx="7">
                  <c:v>93.894474675348476</c:v>
                </c:pt>
                <c:pt idx="8">
                  <c:v>97.55635918768705</c:v>
                </c:pt>
                <c:pt idx="9">
                  <c:v>107.89733326158188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ИСХОДНЫЕ!$B$1443:$K$1443</c:f>
              <c:numCache>
                <c:formatCode>0.0</c:formatCode>
                <c:ptCount val="10"/>
                <c:pt idx="0">
                  <c:v>96.1</c:v>
                </c:pt>
                <c:pt idx="1">
                  <c:v>102.63480000000001</c:v>
                </c:pt>
                <c:pt idx="2">
                  <c:v>118.33792440000001</c:v>
                </c:pt>
                <c:pt idx="3">
                  <c:v>124.13648269560004</c:v>
                </c:pt>
                <c:pt idx="4">
                  <c:v>132.20535407081405</c:v>
                </c:pt>
                <c:pt idx="5">
                  <c:v>137.89018429585909</c:v>
                </c:pt>
                <c:pt idx="6">
                  <c:v>142.44056037762243</c:v>
                </c:pt>
                <c:pt idx="7">
                  <c:v>151.41431568141266</c:v>
                </c:pt>
                <c:pt idx="8">
                  <c:v>160.80200325366025</c:v>
                </c:pt>
                <c:pt idx="9">
                  <c:v>168.35969740658231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9943808"/>
        <c:axId val="109957888"/>
      </c:lineChart>
      <c:catAx>
        <c:axId val="109943808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09957888"/>
        <c:crosses val="autoZero"/>
        <c:auto val="1"/>
        <c:lblAlgn val="ctr"/>
        <c:lblOffset val="100"/>
        <c:noMultiLvlLbl val="0"/>
      </c:catAx>
      <c:valAx>
        <c:axId val="109957888"/>
        <c:scaling>
          <c:orientation val="minMax"/>
          <c:max val="170"/>
          <c:min val="7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09943808"/>
        <c:crosses val="autoZero"/>
        <c:crossBetween val="between"/>
        <c:majorUnit val="20"/>
      </c:valAx>
    </c:plotArea>
    <c:legend>
      <c:legendPos val="r"/>
      <c:layout>
        <c:manualLayout>
          <c:xMode val="edge"/>
          <c:yMode val="edge"/>
          <c:x val="9.4492511943475133E-2"/>
          <c:y val="0.10171847218694438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ИСХОДНЫЕ!$B$1464:$K$1464</c:f>
              <c:numCache>
                <c:formatCode>0.0</c:formatCode>
                <c:ptCount val="10"/>
                <c:pt idx="0">
                  <c:v>97.000839301779536</c:v>
                </c:pt>
                <c:pt idx="1">
                  <c:v>105.41579343437235</c:v>
                </c:pt>
                <c:pt idx="2">
                  <c:v>111.79552648970123</c:v>
                </c:pt>
                <c:pt idx="3">
                  <c:v>116.58930387085482</c:v>
                </c:pt>
                <c:pt idx="4">
                  <c:v>120.72503354107062</c:v>
                </c:pt>
                <c:pt idx="5">
                  <c:v>125.86483010781197</c:v>
                </c:pt>
                <c:pt idx="6">
                  <c:v>127.81598900916929</c:v>
                </c:pt>
                <c:pt idx="7">
                  <c:v>128.62609342303506</c:v>
                </c:pt>
                <c:pt idx="8">
                  <c:v>132.15181387154772</c:v>
                </c:pt>
                <c:pt idx="9">
                  <c:v>135.25139464894474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ИСХОДНЫЕ!$B$1465:$K$1465</c:f>
              <c:numCache>
                <c:formatCode>0.0</c:formatCode>
                <c:ptCount val="10"/>
                <c:pt idx="0">
                  <c:v>106.50256180936159</c:v>
                </c:pt>
                <c:pt idx="1">
                  <c:v>110.15067669962629</c:v>
                </c:pt>
                <c:pt idx="2">
                  <c:v>112.97755966040796</c:v>
                </c:pt>
                <c:pt idx="3">
                  <c:v>118.72147319799677</c:v>
                </c:pt>
                <c:pt idx="4">
                  <c:v>118.68363616232493</c:v>
                </c:pt>
                <c:pt idx="5">
                  <c:v>129.19735993825438</c:v>
                </c:pt>
                <c:pt idx="6">
                  <c:v>140.47731642612652</c:v>
                </c:pt>
                <c:pt idx="7">
                  <c:v>150.32937801239163</c:v>
                </c:pt>
                <c:pt idx="8">
                  <c:v>168.12333129202233</c:v>
                </c:pt>
                <c:pt idx="9">
                  <c:v>181.2219828656782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345088"/>
        <c:axId val="116350976"/>
      </c:lineChart>
      <c:catAx>
        <c:axId val="116345088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350976"/>
        <c:crosses val="autoZero"/>
        <c:auto val="1"/>
        <c:lblAlgn val="ctr"/>
        <c:lblOffset val="100"/>
        <c:noMultiLvlLbl val="0"/>
      </c:catAx>
      <c:valAx>
        <c:axId val="116350976"/>
        <c:scaling>
          <c:orientation val="minMax"/>
          <c:max val="200"/>
          <c:min val="8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345088"/>
        <c:crosses val="autoZero"/>
        <c:crossBetween val="between"/>
        <c:majorUnit val="20"/>
      </c:valAx>
    </c:plotArea>
    <c:legend>
      <c:legendPos val="r"/>
      <c:layout>
        <c:manualLayout>
          <c:xMode val="edge"/>
          <c:yMode val="edge"/>
          <c:x val="5.8093252867677074E-2"/>
          <c:y val="7.3266049657099319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ИСХОДНЫЕ!$B$1486:$K$1486</c:f>
              <c:numCache>
                <c:formatCode>0.0</c:formatCode>
                <c:ptCount val="10"/>
                <c:pt idx="0">
                  <c:v>83.6</c:v>
                </c:pt>
                <c:pt idx="1">
                  <c:v>93.966400000000007</c:v>
                </c:pt>
                <c:pt idx="2">
                  <c:v>100.54404799999999</c:v>
                </c:pt>
                <c:pt idx="3">
                  <c:v>105.37016230399999</c:v>
                </c:pt>
                <c:pt idx="4">
                  <c:v>105.37016230399998</c:v>
                </c:pt>
                <c:pt idx="5">
                  <c:v>106.00238327782398</c:v>
                </c:pt>
                <c:pt idx="6">
                  <c:v>99.112228364765429</c:v>
                </c:pt>
                <c:pt idx="7">
                  <c:v>96.83264711237581</c:v>
                </c:pt>
                <c:pt idx="8">
                  <c:v>97.964469622759268</c:v>
                </c:pt>
                <c:pt idx="9">
                  <c:v>99.500146876816203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ИСХОДНЫЕ!$B$1487:$K$1487</c:f>
              <c:numCache>
                <c:formatCode>0.0</c:formatCode>
                <c:ptCount val="10"/>
                <c:pt idx="0">
                  <c:v>87.3</c:v>
                </c:pt>
                <c:pt idx="1">
                  <c:v>99.958500000000029</c:v>
                </c:pt>
                <c:pt idx="2">
                  <c:v>107.55534600000004</c:v>
                </c:pt>
                <c:pt idx="3">
                  <c:v>106.37223719400006</c:v>
                </c:pt>
                <c:pt idx="4">
                  <c:v>113.28643261161007</c:v>
                </c:pt>
                <c:pt idx="5">
                  <c:v>115.21230196600746</c:v>
                </c:pt>
                <c:pt idx="6">
                  <c:v>111.75593290702724</c:v>
                </c:pt>
                <c:pt idx="7">
                  <c:v>109.9678379805148</c:v>
                </c:pt>
                <c:pt idx="8">
                  <c:v>109.97400097562189</c:v>
                </c:pt>
                <c:pt idx="9">
                  <c:v>114.26883756955702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381952"/>
        <c:axId val="116469760"/>
      </c:lineChart>
      <c:catAx>
        <c:axId val="116381952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469760"/>
        <c:crosses val="autoZero"/>
        <c:auto val="1"/>
        <c:lblAlgn val="ctr"/>
        <c:lblOffset val="100"/>
        <c:noMultiLvlLbl val="0"/>
      </c:catAx>
      <c:valAx>
        <c:axId val="116469760"/>
        <c:scaling>
          <c:orientation val="minMax"/>
          <c:max val="120"/>
          <c:min val="8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381952"/>
        <c:crosses val="autoZero"/>
        <c:crossBetween val="between"/>
        <c:majorUnit val="10"/>
      </c:valAx>
    </c:plotArea>
    <c:legend>
      <c:legendPos val="r"/>
      <c:layout>
        <c:manualLayout>
          <c:xMode val="edge"/>
          <c:yMode val="edge"/>
          <c:x val="6.0470492797646873E-2"/>
          <c:y val="8.7704391033782067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ИСХОДНЫЕ!$A$1142</c:f>
              <c:strCache>
                <c:ptCount val="1"/>
                <c:pt idx="0">
                  <c:v>РФ</c:v>
                </c:pt>
              </c:strCache>
            </c:strRef>
          </c:tx>
          <c:spPr>
            <a:ln w="19050">
              <a:solidFill>
                <a:schemeClr val="tx2"/>
              </a:solidFill>
            </a:ln>
          </c:spPr>
          <c:marker>
            <c:symbol val="none"/>
          </c:marker>
          <c:dLbls>
            <c:dLbl>
              <c:idx val="9"/>
              <c:layout/>
              <c:dLblPos val="t"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ИСХОДНЫЕ!$B$1532:$K$1532</c:f>
              <c:numCache>
                <c:formatCode>0.0</c:formatCode>
                <c:ptCount val="10"/>
                <c:pt idx="0">
                  <c:v>67.976673220959299</c:v>
                </c:pt>
                <c:pt idx="1">
                  <c:v>82.614725586652014</c:v>
                </c:pt>
                <c:pt idx="2">
                  <c:v>94.306879623898837</c:v>
                </c:pt>
                <c:pt idx="3">
                  <c:v>101.17828570443979</c:v>
                </c:pt>
                <c:pt idx="4">
                  <c:v>101.14368040507372</c:v>
                </c:pt>
                <c:pt idx="5">
                  <c:v>103.40740558415801</c:v>
                </c:pt>
                <c:pt idx="6">
                  <c:v>94.175801864714586</c:v>
                </c:pt>
                <c:pt idx="7">
                  <c:v>93.199003538596642</c:v>
                </c:pt>
                <c:pt idx="8">
                  <c:v>97.989571170073233</c:v>
                </c:pt>
                <c:pt idx="9">
                  <c:v>100.56642658378748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ИСХОДНЫЕ!$A$1143</c:f>
              <c:strCache>
                <c:ptCount val="1"/>
                <c:pt idx="0">
                  <c:v>ВО</c:v>
                </c:pt>
              </c:strCache>
            </c:strRef>
          </c:tx>
          <c:spPr>
            <a:ln w="19050">
              <a:solidFill>
                <a:schemeClr val="accent6">
                  <a:lumMod val="75000"/>
                </a:schemeClr>
              </a:solidFill>
            </a:ln>
          </c:spPr>
          <c:marker>
            <c:symbol val="none"/>
          </c:marker>
          <c:dLbls>
            <c:dLbl>
              <c:idx val="9"/>
              <c:layout/>
              <c:dLblPos val="b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ИСХОДНЫЕ!$C$1134:$L$1134</c:f>
              <c:strCache>
                <c:ptCount val="10"/>
                <c:pt idx="0">
                  <c:v>2009 г.</c:v>
                </c:pt>
                <c:pt idx="1">
                  <c:v>2010 г.</c:v>
                </c:pt>
                <c:pt idx="2">
                  <c:v>2011 г.</c:v>
                </c:pt>
                <c:pt idx="3">
                  <c:v>2012 г.</c:v>
                </c:pt>
                <c:pt idx="4">
                  <c:v>2013 г.</c:v>
                </c:pt>
                <c:pt idx="5">
                  <c:v>2014 г.</c:v>
                </c:pt>
                <c:pt idx="6">
                  <c:v>2015 г.</c:v>
                </c:pt>
                <c:pt idx="7">
                  <c:v>2016 г.</c:v>
                </c:pt>
                <c:pt idx="8">
                  <c:v>2017 г.</c:v>
                </c:pt>
                <c:pt idx="9">
                  <c:v>2018 г.</c:v>
                </c:pt>
              </c:strCache>
            </c:strRef>
          </c:cat>
          <c:val>
            <c:numRef>
              <c:f>ИСХОДНЫЕ!$B$1533:$K$1533</c:f>
              <c:numCache>
                <c:formatCode>0.0</c:formatCode>
                <c:ptCount val="10"/>
                <c:pt idx="0">
                  <c:v>68.46645434322609</c:v>
                </c:pt>
                <c:pt idx="1">
                  <c:v>79.68170842059574</c:v>
                </c:pt>
                <c:pt idx="2">
                  <c:v>82.638881609055417</c:v>
                </c:pt>
                <c:pt idx="3">
                  <c:v>94.081444187342143</c:v>
                </c:pt>
                <c:pt idx="4">
                  <c:v>81.662247020120731</c:v>
                </c:pt>
                <c:pt idx="5">
                  <c:v>86.489070726628199</c:v>
                </c:pt>
                <c:pt idx="6">
                  <c:v>108.65525232865663</c:v>
                </c:pt>
                <c:pt idx="7">
                  <c:v>90.556940869384945</c:v>
                </c:pt>
                <c:pt idx="8">
                  <c:v>89.095288520497334</c:v>
                </c:pt>
                <c:pt idx="9">
                  <c:v>91.14060217573973</c:v>
                </c:pt>
              </c:numCache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6504448"/>
        <c:axId val="116505984"/>
      </c:lineChart>
      <c:catAx>
        <c:axId val="116504448"/>
        <c:scaling>
          <c:orientation val="minMax"/>
        </c:scaling>
        <c:delete val="0"/>
        <c:axPos val="b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majorTickMark val="out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116505984"/>
        <c:crosses val="autoZero"/>
        <c:auto val="1"/>
        <c:lblAlgn val="ctr"/>
        <c:lblOffset val="100"/>
        <c:noMultiLvlLbl val="0"/>
      </c:catAx>
      <c:valAx>
        <c:axId val="116505984"/>
        <c:scaling>
          <c:orientation val="minMax"/>
          <c:max val="110"/>
          <c:min val="6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0" sourceLinked="0"/>
        <c:majorTickMark val="out"/>
        <c:minorTickMark val="none"/>
        <c:tickLblPos val="nextTo"/>
        <c:crossAx val="116504448"/>
        <c:crosses val="autoZero"/>
        <c:crossBetween val="between"/>
        <c:majorUnit val="10"/>
      </c:valAx>
    </c:plotArea>
    <c:legend>
      <c:legendPos val="r"/>
      <c:layout>
        <c:manualLayout>
          <c:xMode val="edge"/>
          <c:yMode val="edge"/>
          <c:x val="5.9580445305008729E-2"/>
          <c:y val="8.0204629159258314E-2"/>
          <c:w val="0.18326805555555556"/>
          <c:h val="0.13271616161616162"/>
        </c:manualLayout>
      </c:layout>
      <c:overlay val="1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0.78585</cdr:x>
      <cdr:y>0.63758</cdr:y>
    </cdr:from>
    <cdr:to>
      <cdr:x>0.98668</cdr:x>
      <cdr:y>0.74655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43141" y="1606494"/>
          <a:ext cx="1084345" cy="27457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10.xml><?xml version="1.0" encoding="utf-8"?>
<c:userShapes xmlns:c="http://schemas.openxmlformats.org/drawingml/2006/chart">
  <cdr:relSizeAnchor xmlns:cdr="http://schemas.openxmlformats.org/drawingml/2006/chartDrawing">
    <cdr:from>
      <cdr:x>0.77875</cdr:x>
      <cdr:y>0.66846</cdr:y>
    </cdr:from>
    <cdr:to>
      <cdr:x>0.98947</cdr:x>
      <cdr:y>0.78289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04801" y="1684316"/>
          <a:ext cx="1137761" cy="28832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11.xml><?xml version="1.0" encoding="utf-8"?>
<c:userShapes xmlns:c="http://schemas.openxmlformats.org/drawingml/2006/chart">
  <cdr:relSizeAnchor xmlns:cdr="http://schemas.openxmlformats.org/drawingml/2006/chartDrawing">
    <cdr:from>
      <cdr:x>0.3249</cdr:x>
      <cdr:y>0.66767</cdr:y>
    </cdr:from>
    <cdr:to>
      <cdr:x>0.97235</cdr:x>
      <cdr:y>0.79105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1754290" y="1682320"/>
          <a:ext cx="3495804" cy="31086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среднемесячному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значению 2008 г.</a:t>
          </a:r>
          <a:r>
            <a:rPr lang="en-US" sz="1200" baseline="0">
              <a:latin typeface="Times New Roman" pitchFamily="18" charset="0"/>
              <a:cs typeface="Times New Roman" pitchFamily="18" charset="0"/>
            </a:rPr>
            <a:t> (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тренд)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12.xml><?xml version="1.0" encoding="utf-8"?>
<c:userShapes xmlns:c="http://schemas.openxmlformats.org/drawingml/2006/chart">
  <cdr:relSizeAnchor xmlns:cdr="http://schemas.openxmlformats.org/drawingml/2006/chartDrawing">
    <cdr:from>
      <cdr:x>0.1667</cdr:x>
      <cdr:y>0.05393</cdr:y>
    </cdr:from>
    <cdr:to>
      <cdr:x>0.68666</cdr:x>
      <cdr:y>0.17126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900081" y="135886"/>
          <a:ext cx="2807474" cy="29562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среднемесячному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значению 2008 г.</a:t>
          </a:r>
          <a:r>
            <a:rPr lang="en-US" sz="1200" baseline="0">
              <a:latin typeface="Times New Roman" pitchFamily="18" charset="0"/>
              <a:cs typeface="Times New Roman" pitchFamily="18" charset="0"/>
            </a:rPr>
            <a:t> (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тренд)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13.xml><?xml version="1.0" encoding="utf-8"?>
<c:userShapes xmlns:c="http://schemas.openxmlformats.org/drawingml/2006/chart">
  <cdr:relSizeAnchor xmlns:cdr="http://schemas.openxmlformats.org/drawingml/2006/chartDrawing">
    <cdr:from>
      <cdr:x>0.79213</cdr:x>
      <cdr:y>0.63628</cdr:y>
    </cdr:from>
    <cdr:to>
      <cdr:x>1</cdr:x>
      <cdr:y>0.77066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81849" y="1603226"/>
          <a:ext cx="1122358" cy="33859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2008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14.xml><?xml version="1.0" encoding="utf-8"?>
<c:userShapes xmlns:c="http://schemas.openxmlformats.org/drawingml/2006/chart">
  <cdr:relSizeAnchor xmlns:cdr="http://schemas.openxmlformats.org/drawingml/2006/chartDrawing">
    <cdr:from>
      <cdr:x>0.78416</cdr:x>
      <cdr:y>0.64468</cdr:y>
    </cdr:from>
    <cdr:to>
      <cdr:x>1</cdr:x>
      <cdr:y>0.76658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38800" y="1624378"/>
          <a:ext cx="1165407" cy="30716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2008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15.xml><?xml version="1.0" encoding="utf-8"?>
<c:userShapes xmlns:c="http://schemas.openxmlformats.org/drawingml/2006/chart">
  <cdr:relSizeAnchor xmlns:cdr="http://schemas.openxmlformats.org/drawingml/2006/chartDrawing">
    <cdr:from>
      <cdr:x>0.79101</cdr:x>
      <cdr:y>0.63573</cdr:y>
    </cdr:from>
    <cdr:to>
      <cdr:x>0.98757</cdr:x>
      <cdr:y>0.74212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70991" y="1601847"/>
          <a:ext cx="1061297" cy="2680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2008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16.xml><?xml version="1.0" encoding="utf-8"?>
<c:userShapes xmlns:c="http://schemas.openxmlformats.org/drawingml/2006/chart">
  <cdr:relSizeAnchor xmlns:cdr="http://schemas.openxmlformats.org/drawingml/2006/chartDrawing">
    <cdr:from>
      <cdr:x>0.78661</cdr:x>
      <cdr:y>0.62758</cdr:y>
    </cdr:from>
    <cdr:to>
      <cdr:x>0.98858</cdr:x>
      <cdr:y>0.75435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47199" y="1581299"/>
          <a:ext cx="1090561" cy="31941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2008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0.79176</cdr:x>
      <cdr:y>0.63647</cdr:y>
    </cdr:from>
    <cdr:to>
      <cdr:x>0.98858</cdr:x>
      <cdr:y>0.7662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75019" y="1603691"/>
          <a:ext cx="1062741" cy="32687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0.77118</cdr:x>
      <cdr:y>0.63943</cdr:y>
    </cdr:from>
    <cdr:to>
      <cdr:x>0.97526</cdr:x>
      <cdr:y>0.77435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163908" y="1611164"/>
          <a:ext cx="1101933" cy="33995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0.80162</cdr:x>
      <cdr:y>0.66278</cdr:y>
    </cdr:from>
    <cdr:to>
      <cdr:x>1</cdr:x>
      <cdr:y>0.86516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333096" y="1670006"/>
          <a:ext cx="1071110" cy="50993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5.xml><?xml version="1.0" encoding="utf-8"?>
<c:userShapes xmlns:c="http://schemas.openxmlformats.org/drawingml/2006/chart">
  <cdr:relSizeAnchor xmlns:cdr="http://schemas.openxmlformats.org/drawingml/2006/chartDrawing">
    <cdr:from>
      <cdr:x>0.77255</cdr:x>
      <cdr:y>0.64259</cdr:y>
    </cdr:from>
    <cdr:to>
      <cdr:x>1</cdr:x>
      <cdr:y>0.84112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171307" y="1619122"/>
          <a:ext cx="1228097" cy="50023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6.xml><?xml version="1.0" encoding="utf-8"?>
<c:userShapes xmlns:c="http://schemas.openxmlformats.org/drawingml/2006/chart">
  <cdr:relSizeAnchor xmlns:cdr="http://schemas.openxmlformats.org/drawingml/2006/chartDrawing">
    <cdr:from>
      <cdr:x>0.79729</cdr:x>
      <cdr:y>0.63584</cdr:y>
    </cdr:from>
    <cdr:to>
      <cdr:x>1</cdr:x>
      <cdr:y>0.92318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304873" y="1602123"/>
          <a:ext cx="1094532" cy="72400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7.xml><?xml version="1.0" encoding="utf-8"?>
<c:userShapes xmlns:c="http://schemas.openxmlformats.org/drawingml/2006/chart">
  <cdr:relSizeAnchor xmlns:cdr="http://schemas.openxmlformats.org/drawingml/2006/chartDrawing">
    <cdr:from>
      <cdr:x>0.78206</cdr:x>
      <cdr:y>0.63292</cdr:y>
    </cdr:from>
    <cdr:to>
      <cdr:x>1</cdr:x>
      <cdr:y>0.82099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22677" y="1594753"/>
          <a:ext cx="1176727" cy="47387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8.xml><?xml version="1.0" encoding="utf-8"?>
<c:userShapes xmlns:c="http://schemas.openxmlformats.org/drawingml/2006/chart">
  <cdr:relSizeAnchor xmlns:cdr="http://schemas.openxmlformats.org/drawingml/2006/chartDrawing">
    <cdr:from>
      <cdr:x>0.77955</cdr:x>
      <cdr:y>0.62769</cdr:y>
    </cdr:from>
    <cdr:to>
      <cdr:x>0.97717</cdr:x>
      <cdr:y>0.7625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09108" y="1581574"/>
          <a:ext cx="1067007" cy="33969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drawings/drawing9.xml><?xml version="1.0" encoding="utf-8"?>
<c:userShapes xmlns:c="http://schemas.openxmlformats.org/drawingml/2006/chart">
  <cdr:relSizeAnchor xmlns:cdr="http://schemas.openxmlformats.org/drawingml/2006/chartDrawing">
    <cdr:from>
      <cdr:x>0.79075</cdr:x>
      <cdr:y>0.65598</cdr:y>
    </cdr:from>
    <cdr:to>
      <cdr:x>1</cdr:x>
      <cdr:y>0.80748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4274390" y="1652848"/>
          <a:ext cx="1129816" cy="38173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marL="0" marR="0" indent="0" defTabSz="91440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/>
          </a:pPr>
          <a:r>
            <a:rPr lang="ru-RU" sz="1200">
              <a:latin typeface="Times New Roman" pitchFamily="18" charset="0"/>
              <a:cs typeface="Times New Roman" pitchFamily="18" charset="0"/>
            </a:rPr>
            <a:t>В % к 2008</a:t>
          </a:r>
          <a:r>
            <a:rPr lang="ru-RU" sz="1200" baseline="0">
              <a:latin typeface="Times New Roman" pitchFamily="18" charset="0"/>
              <a:cs typeface="Times New Roman" pitchFamily="18" charset="0"/>
            </a:rPr>
            <a:t> г.</a:t>
          </a:r>
          <a:endParaRPr lang="ru-RU" sz="1200">
            <a:latin typeface="Times New Roman" pitchFamily="18" charset="0"/>
            <a:cs typeface="Times New Roman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C60300-0215-4D13-B75D-5E56A9B80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682</TotalTime>
  <Pages>12</Pages>
  <Words>1684</Words>
  <Characters>9601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А. Сидоров</dc:creator>
  <cp:keywords/>
  <dc:description/>
  <cp:lastModifiedBy>Максим А. Сидоров</cp:lastModifiedBy>
  <cp:revision>79</cp:revision>
  <cp:lastPrinted>2019-04-23T08:46:00Z</cp:lastPrinted>
  <dcterms:created xsi:type="dcterms:W3CDTF">2019-03-25T13:06:00Z</dcterms:created>
  <dcterms:modified xsi:type="dcterms:W3CDTF">2019-05-13T11:04:00Z</dcterms:modified>
</cp:coreProperties>
</file>