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485" w:rsidRPr="00DA1F3B" w:rsidRDefault="00313485" w:rsidP="008E6921">
      <w:pPr>
        <w:spacing w:after="0" w:line="240" w:lineRule="auto"/>
        <w:ind w:firstLine="567"/>
        <w:rPr>
          <w:color w:val="000000" w:themeColor="text1"/>
        </w:rPr>
      </w:pPr>
      <w:bookmarkStart w:id="0" w:name="_Toc7723964"/>
      <w:bookmarkStart w:id="1" w:name="_Toc7725167"/>
      <w:bookmarkStart w:id="2" w:name="_Toc7725432"/>
      <w:bookmarkStart w:id="3" w:name="_GoBack"/>
      <w:bookmarkEnd w:id="3"/>
      <w:r>
        <w:rPr>
          <w:color w:val="000000" w:themeColor="text1"/>
        </w:rPr>
        <w:t>УДК</w:t>
      </w:r>
      <w:r w:rsidR="00DA1F3B" w:rsidRPr="00BA5335">
        <w:rPr>
          <w:color w:val="000000" w:themeColor="text1"/>
        </w:rPr>
        <w:t xml:space="preserve"> 338</w:t>
      </w:r>
      <w:r w:rsidR="00DA1F3B">
        <w:rPr>
          <w:color w:val="000000" w:themeColor="text1"/>
        </w:rPr>
        <w:t>.</w:t>
      </w:r>
      <w:r w:rsidR="00DA1F3B" w:rsidRPr="00BA5335">
        <w:rPr>
          <w:color w:val="000000" w:themeColor="text1"/>
        </w:rPr>
        <w:t xml:space="preserve">2 </w:t>
      </w:r>
      <w:r w:rsidR="00DA1F3B">
        <w:rPr>
          <w:color w:val="000000" w:themeColor="text1"/>
        </w:rPr>
        <w:t>(075.8)</w:t>
      </w:r>
    </w:p>
    <w:p w:rsidR="00313485" w:rsidRDefault="00313485" w:rsidP="008E6921">
      <w:pPr>
        <w:spacing w:after="0" w:line="240" w:lineRule="auto"/>
        <w:ind w:firstLine="567"/>
        <w:rPr>
          <w:color w:val="000000" w:themeColor="text1"/>
        </w:rPr>
      </w:pPr>
      <w:r>
        <w:rPr>
          <w:color w:val="000000" w:themeColor="text1"/>
        </w:rPr>
        <w:t xml:space="preserve">ББК </w:t>
      </w:r>
      <w:r w:rsidR="00DA1F3B">
        <w:rPr>
          <w:color w:val="000000" w:themeColor="text1"/>
        </w:rPr>
        <w:t>65.012</w:t>
      </w:r>
    </w:p>
    <w:p w:rsidR="00313485" w:rsidRDefault="00313485" w:rsidP="008E6921">
      <w:pPr>
        <w:spacing w:after="0" w:line="240" w:lineRule="auto"/>
        <w:ind w:firstLine="567"/>
        <w:jc w:val="right"/>
        <w:rPr>
          <w:color w:val="000000" w:themeColor="text1"/>
        </w:rPr>
      </w:pPr>
      <w:r>
        <w:rPr>
          <w:color w:val="000000" w:themeColor="text1"/>
        </w:rPr>
        <w:t xml:space="preserve">Пилипенко В.В. </w:t>
      </w:r>
    </w:p>
    <w:p w:rsidR="00B461AA" w:rsidRDefault="00313485" w:rsidP="008E6921">
      <w:pPr>
        <w:spacing w:after="0" w:line="240" w:lineRule="auto"/>
        <w:ind w:firstLine="567"/>
        <w:jc w:val="center"/>
        <w:rPr>
          <w:color w:val="000000" w:themeColor="text1"/>
        </w:rPr>
      </w:pPr>
      <w:r w:rsidRPr="00307EBD">
        <w:rPr>
          <w:color w:val="000000" w:themeColor="text1"/>
        </w:rPr>
        <w:t xml:space="preserve">АНАЛИЗ ФОРМИРОВАНИЯ И РАЗВИТИЯ </w:t>
      </w:r>
      <w:r>
        <w:rPr>
          <w:color w:val="000000" w:themeColor="text1"/>
        </w:rPr>
        <w:t xml:space="preserve">ПРЕДПРИНИМАТЕЛЬСКОГО </w:t>
      </w:r>
      <w:r w:rsidRPr="00307EBD">
        <w:rPr>
          <w:color w:val="000000" w:themeColor="text1"/>
        </w:rPr>
        <w:t>КАПИТАЛА</w:t>
      </w:r>
      <w:r>
        <w:rPr>
          <w:color w:val="000000" w:themeColor="text1"/>
        </w:rPr>
        <w:t xml:space="preserve"> И </w:t>
      </w:r>
      <w:r w:rsidRPr="00307EBD">
        <w:rPr>
          <w:color w:val="000000" w:themeColor="text1"/>
        </w:rPr>
        <w:t>ЕГО ОСНОВНЫХ СТРУКТУР В РОСС</w:t>
      </w:r>
      <w:r w:rsidR="00EE4585">
        <w:rPr>
          <w:color w:val="000000" w:themeColor="text1"/>
        </w:rPr>
        <w:t>И</w:t>
      </w:r>
      <w:r w:rsidRPr="00307EBD">
        <w:rPr>
          <w:color w:val="000000" w:themeColor="text1"/>
        </w:rPr>
        <w:t>ЙСКОЙ ФЕДЕРАЦИИ</w:t>
      </w:r>
      <w:bookmarkEnd w:id="0"/>
      <w:bookmarkEnd w:id="1"/>
      <w:bookmarkEnd w:id="2"/>
    </w:p>
    <w:p w:rsidR="00313485" w:rsidRDefault="00313485" w:rsidP="008E6921">
      <w:pPr>
        <w:spacing w:after="0" w:line="240" w:lineRule="auto"/>
        <w:ind w:firstLine="567"/>
        <w:jc w:val="center"/>
        <w:rPr>
          <w:color w:val="000000" w:themeColor="text1"/>
        </w:rPr>
      </w:pPr>
    </w:p>
    <w:p w:rsidR="00732451" w:rsidRDefault="00313485" w:rsidP="008E6921">
      <w:pPr>
        <w:pStyle w:val="a3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E692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Аннотация. В статье проведен анализ </w:t>
      </w:r>
      <w:r w:rsidR="00732451" w:rsidRPr="008E692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развития предпринимательского капитала и </w:t>
      </w:r>
      <w:r w:rsidR="008E6921" w:rsidRPr="008E692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предложено </w:t>
      </w:r>
      <w:r w:rsidR="00732451" w:rsidRPr="008E692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у</w:t>
      </w:r>
      <w:r w:rsidRPr="008E692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величение инвестиционного потенциала России путем введение государственного контроля за процессом инвестирования</w:t>
      </w:r>
      <w:r w:rsidR="008E6921" w:rsidRPr="008E692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8E6921" w:rsidRDefault="008E6921" w:rsidP="008E6921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Ключевые слова: </w:t>
      </w:r>
      <w:r w:rsidR="009B7CE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предпринимательский капитал, прямые иностранные инвестиции, иностранный капитал, акции, </w:t>
      </w:r>
      <w:r w:rsidR="00DA1F3B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оффшорные</w:t>
      </w:r>
      <w:r w:rsidR="009B7CE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зоны.</w:t>
      </w:r>
    </w:p>
    <w:p w:rsidR="00A4085C" w:rsidRDefault="00A4085C" w:rsidP="008E6921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:rsidR="005F49D1" w:rsidRPr="00E9721C" w:rsidRDefault="005F49D1" w:rsidP="005F49D1">
      <w:pPr>
        <w:spacing w:after="0" w:line="360" w:lineRule="auto"/>
        <w:ind w:firstLine="709"/>
        <w:jc w:val="both"/>
        <w:rPr>
          <w:color w:val="000000" w:themeColor="text1"/>
        </w:rPr>
      </w:pPr>
      <w:r w:rsidRPr="00E9721C">
        <w:rPr>
          <w:color w:val="000000" w:themeColor="text1"/>
        </w:rPr>
        <w:t>Актуальность темы</w:t>
      </w:r>
      <w:r w:rsidRPr="00E9721C">
        <w:rPr>
          <w:b/>
          <w:color w:val="000000" w:themeColor="text1"/>
        </w:rPr>
        <w:t xml:space="preserve"> </w:t>
      </w:r>
      <w:r w:rsidRPr="00E9721C">
        <w:rPr>
          <w:color w:val="000000" w:themeColor="text1"/>
        </w:rPr>
        <w:t xml:space="preserve">заключается в том, что рынок капитала занимает одно из важнейших мест в экономике Российской Федерации, так как охватывает огромную сферу деятельности, начиная с кредитно-банковской системы страны, заканчивая экспортно-импортными отношениями. Необходимо понимать взаимосвязь экономических процессов и их влияние на положение страны в мире. </w:t>
      </w:r>
    </w:p>
    <w:p w:rsidR="005F49D1" w:rsidRPr="00E9721C" w:rsidRDefault="005F49D1" w:rsidP="005F49D1">
      <w:pPr>
        <w:spacing w:after="0" w:line="360" w:lineRule="auto"/>
        <w:ind w:firstLine="709"/>
        <w:jc w:val="both"/>
        <w:rPr>
          <w:color w:val="000000" w:themeColor="text1"/>
        </w:rPr>
      </w:pPr>
      <w:r w:rsidRPr="00E9721C">
        <w:rPr>
          <w:color w:val="000000" w:themeColor="text1"/>
        </w:rPr>
        <w:t xml:space="preserve">Данную тему изучали в своих работах такие российские ученые, как   И.А. Бланк, А.С. Булатова, А.И. Борисоглебская, А.Г. </w:t>
      </w:r>
      <w:proofErr w:type="spellStart"/>
      <w:r w:rsidRPr="00E9721C">
        <w:rPr>
          <w:color w:val="000000" w:themeColor="text1"/>
        </w:rPr>
        <w:t>Саркисянц</w:t>
      </w:r>
      <w:proofErr w:type="spellEnd"/>
      <w:r w:rsidRPr="00E9721C">
        <w:rPr>
          <w:color w:val="000000" w:themeColor="text1"/>
        </w:rPr>
        <w:t xml:space="preserve">, И.П. Николаева, Г.И. Кравцова, </w:t>
      </w:r>
      <w:r w:rsidR="006D3755">
        <w:rPr>
          <w:color w:val="000000" w:themeColor="text1"/>
        </w:rPr>
        <w:t xml:space="preserve">      </w:t>
      </w:r>
      <w:r w:rsidRPr="00E9721C">
        <w:rPr>
          <w:color w:val="000000" w:themeColor="text1"/>
        </w:rPr>
        <w:t xml:space="preserve">Г.С. Кузьменко, Е.И. Кравцов и др. </w:t>
      </w:r>
    </w:p>
    <w:p w:rsidR="005F49D1" w:rsidRPr="00E9721C" w:rsidRDefault="005F49D1" w:rsidP="005F49D1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972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Цель работы предложить пути дальнейшей реализации внешнеэкономических отношений и повышения конкурентоспособности и инвестиционной привлекательности страны. 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На современном этапе развития международное движение капитала является важнейшим процессом, который влияет на общее положение страны в мире. Рынок предпринимательского капитал РФ, который входит в структуру движения капитал, представляет собой взаимосвязи, на основе которых происходит общая деятельность России с другими странами</w:t>
      </w:r>
      <w:r w:rsidR="00545214">
        <w:rPr>
          <w:rFonts w:eastAsia="Times New Roman"/>
          <w:color w:val="000000"/>
          <w:lang w:eastAsia="ru-RU"/>
        </w:rPr>
        <w:t xml:space="preserve"> </w:t>
      </w:r>
      <w:r w:rsidR="00545214" w:rsidRPr="00545214">
        <w:rPr>
          <w:rFonts w:eastAsia="Times New Roman"/>
          <w:color w:val="000000"/>
          <w:lang w:eastAsia="ru-RU"/>
        </w:rPr>
        <w:t>[1]</w:t>
      </w:r>
      <w:r w:rsidRPr="00E9721C">
        <w:rPr>
          <w:rFonts w:eastAsia="Times New Roman"/>
          <w:color w:val="000000"/>
          <w:lang w:eastAsia="ru-RU"/>
        </w:rPr>
        <w:t>.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Рассмотрим сферу рынка предпринимательского капитала, которая выражает собой международное инвестирование, то есть создание различных совместных предприятий.</w:t>
      </w:r>
    </w:p>
    <w:p w:rsidR="006D48CB" w:rsidRPr="00E9721C" w:rsidRDefault="006D48CB" w:rsidP="00C33050">
      <w:pPr>
        <w:spacing w:after="0" w:line="360" w:lineRule="auto"/>
        <w:ind w:firstLine="709"/>
        <w:jc w:val="center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noProof/>
          <w:color w:val="000000"/>
          <w:lang w:eastAsia="ru-RU"/>
        </w:rPr>
        <w:drawing>
          <wp:inline distT="0" distB="0" distL="0" distR="0">
            <wp:extent cx="4765675" cy="1762125"/>
            <wp:effectExtent l="19050" t="0" r="15875" b="0"/>
            <wp:docPr id="2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6D48CB" w:rsidRPr="00EC642E" w:rsidRDefault="006D48CB" w:rsidP="006D48CB">
      <w:pPr>
        <w:spacing w:after="0" w:line="360" w:lineRule="auto"/>
        <w:ind w:firstLine="709"/>
        <w:jc w:val="center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Рисунок 1 - Прямые иностранные инвестиции в экономику Российской Федерации (млн.долл.США)</w:t>
      </w:r>
      <w:r w:rsidR="00EC642E" w:rsidRPr="00EC642E">
        <w:rPr>
          <w:rFonts w:eastAsia="Times New Roman"/>
          <w:color w:val="000000"/>
          <w:lang w:eastAsia="ru-RU"/>
        </w:rPr>
        <w:t xml:space="preserve"> [4]</w:t>
      </w:r>
    </w:p>
    <w:p w:rsidR="006D3755" w:rsidRPr="00E9721C" w:rsidRDefault="006D3755" w:rsidP="006D3755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lastRenderedPageBreak/>
        <w:t>Международное инвестирование в предпринимательской форме может быть двух видов, итак, первый вид - прямые инвестиции. Значения основных стран-инвесторов в экономику России в 2017 году продемонстрирован на рисунке 1</w:t>
      </w:r>
      <w:r w:rsidR="00545214">
        <w:rPr>
          <w:rFonts w:eastAsia="Times New Roman"/>
          <w:color w:val="000000"/>
          <w:lang w:eastAsia="ru-RU"/>
        </w:rPr>
        <w:t>.</w:t>
      </w:r>
      <w:r w:rsidRPr="00E9721C">
        <w:rPr>
          <w:rFonts w:eastAsia="Times New Roman"/>
          <w:color w:val="000000"/>
          <w:lang w:eastAsia="ru-RU"/>
        </w:rPr>
        <w:t xml:space="preserve"> 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 xml:space="preserve">Итак, наибольший объем инвестиций поступает из Сингапура, как известно, у России складываются довольно развитые и доверительные отношения с крупнейшим инвестором - Сингапуром. В 2017 году Российское государство провело крупную сделку по продаже акций Роснефти. Сингапурская компания QHG </w:t>
      </w:r>
      <w:proofErr w:type="spellStart"/>
      <w:r w:rsidRPr="00E9721C">
        <w:rPr>
          <w:rFonts w:eastAsia="Times New Roman"/>
          <w:color w:val="000000"/>
          <w:lang w:eastAsia="ru-RU"/>
        </w:rPr>
        <w:t>Shares</w:t>
      </w:r>
      <w:proofErr w:type="spellEnd"/>
      <w:r w:rsidRPr="00E9721C">
        <w:rPr>
          <w:rFonts w:eastAsia="Times New Roman"/>
          <w:color w:val="000000"/>
          <w:lang w:eastAsia="ru-RU"/>
        </w:rPr>
        <w:t xml:space="preserve"> </w:t>
      </w:r>
      <w:proofErr w:type="spellStart"/>
      <w:r w:rsidRPr="00E9721C">
        <w:rPr>
          <w:rFonts w:eastAsia="Times New Roman"/>
          <w:color w:val="000000"/>
          <w:lang w:eastAsia="ru-RU"/>
        </w:rPr>
        <w:t>Pte</w:t>
      </w:r>
      <w:proofErr w:type="spellEnd"/>
      <w:r w:rsidRPr="00E9721C">
        <w:rPr>
          <w:rFonts w:eastAsia="Times New Roman"/>
          <w:color w:val="000000"/>
          <w:lang w:eastAsia="ru-RU"/>
        </w:rPr>
        <w:t xml:space="preserve">. </w:t>
      </w:r>
      <w:proofErr w:type="spellStart"/>
      <w:r w:rsidRPr="00E9721C">
        <w:rPr>
          <w:rFonts w:eastAsia="Times New Roman"/>
          <w:color w:val="000000"/>
          <w:lang w:eastAsia="ru-RU"/>
        </w:rPr>
        <w:t>Ltd</w:t>
      </w:r>
      <w:proofErr w:type="spellEnd"/>
      <w:r w:rsidRPr="00E9721C">
        <w:rPr>
          <w:rFonts w:eastAsia="Times New Roman"/>
          <w:color w:val="000000"/>
          <w:lang w:eastAsia="ru-RU"/>
        </w:rPr>
        <w:t>., которую создали специально для этой сделки, приобрела пакет акций в 19,5% на сумму 10,2 миллиарда евро (692 миллиарда рублей)</w:t>
      </w:r>
      <w:r w:rsidR="00EC642E" w:rsidRPr="00EC642E">
        <w:rPr>
          <w:rFonts w:eastAsia="Times New Roman"/>
          <w:color w:val="000000"/>
          <w:lang w:eastAsia="ru-RU"/>
        </w:rPr>
        <w:t xml:space="preserve"> [3]</w:t>
      </w:r>
      <w:r w:rsidRPr="00E9721C">
        <w:rPr>
          <w:rFonts w:eastAsia="Times New Roman"/>
          <w:color w:val="000000"/>
          <w:lang w:eastAsia="ru-RU"/>
        </w:rPr>
        <w:t>.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Можно сделать выводы о том, что инвестировать через Сингапур выгодно и вполне безопасно, но возможно в следующем году Сингапур не сохранит лидерство в этом рейтинге и его место займут Багамские острова, Бермуды и прочие оффшоры.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 xml:space="preserve">С другой </w:t>
      </w:r>
      <w:r w:rsidRPr="00E9721C">
        <w:rPr>
          <w:rFonts w:eastAsia="Times New Roman"/>
          <w:color w:val="000000" w:themeColor="text1"/>
          <w:lang w:eastAsia="ru-RU"/>
        </w:rPr>
        <w:t xml:space="preserve">стороны подобная сделка стала подоплекой к возникновению заинтересованности различных инвесторов в лице российских предпринимателей к Сингапуру и количество деловых предложений  резко увеличилось. </w:t>
      </w:r>
      <w:r w:rsidRPr="00E9721C">
        <w:rPr>
          <w:rFonts w:eastAsia="Times New Roman"/>
          <w:color w:val="000000"/>
          <w:lang w:eastAsia="ru-RU"/>
        </w:rPr>
        <w:t xml:space="preserve">Тем более Сингапур действительно предлагает уникальные условия для различных </w:t>
      </w:r>
      <w:proofErr w:type="spellStart"/>
      <w:r w:rsidRPr="00E9721C">
        <w:rPr>
          <w:rFonts w:eastAsia="Times New Roman"/>
          <w:color w:val="000000"/>
          <w:lang w:eastAsia="ru-RU"/>
        </w:rPr>
        <w:t>стартапов</w:t>
      </w:r>
      <w:proofErr w:type="spellEnd"/>
      <w:r w:rsidRPr="00E9721C">
        <w:rPr>
          <w:rFonts w:eastAsia="Times New Roman"/>
          <w:color w:val="000000"/>
          <w:lang w:eastAsia="ru-RU"/>
        </w:rPr>
        <w:t>, особенно в области технологий, медицины, программного обеспечения.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 xml:space="preserve">Прямые иностранные инвестиции поступали в экономику Российской Федерации неравномерно, чтобы проанализировать данный процесс обратимся к таблице 1: </w:t>
      </w:r>
    </w:p>
    <w:p w:rsidR="006D48CB" w:rsidRPr="00EC642E" w:rsidRDefault="006D48CB" w:rsidP="006D48CB">
      <w:pPr>
        <w:spacing w:after="0" w:line="360" w:lineRule="auto"/>
        <w:ind w:firstLine="709"/>
        <w:jc w:val="center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Таблица 1 - ПИИ в экономику РФ за период 2012-2017 гг.</w:t>
      </w:r>
      <w:r w:rsidR="00EC642E" w:rsidRPr="00EC642E">
        <w:rPr>
          <w:rFonts w:eastAsia="Times New Roman"/>
          <w:color w:val="000000"/>
          <w:lang w:eastAsia="ru-RU"/>
        </w:rPr>
        <w:t>[5]</w:t>
      </w:r>
    </w:p>
    <w:tbl>
      <w:tblPr>
        <w:tblW w:w="9307" w:type="dxa"/>
        <w:tblInd w:w="91" w:type="dxa"/>
        <w:tblLook w:val="04A0" w:firstRow="1" w:lastRow="0" w:firstColumn="1" w:lastColumn="0" w:noHBand="0" w:noVBand="1"/>
      </w:tblPr>
      <w:tblGrid>
        <w:gridCol w:w="1098"/>
        <w:gridCol w:w="1794"/>
        <w:gridCol w:w="979"/>
        <w:gridCol w:w="1218"/>
        <w:gridCol w:w="979"/>
        <w:gridCol w:w="1218"/>
        <w:gridCol w:w="979"/>
        <w:gridCol w:w="1218"/>
      </w:tblGrid>
      <w:tr w:rsidR="006D48CB" w:rsidRPr="006D3755" w:rsidTr="00CD0D4A">
        <w:trPr>
          <w:trHeight w:val="379"/>
        </w:trPr>
        <w:tc>
          <w:tcPr>
            <w:tcW w:w="109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Годы</w:t>
            </w:r>
          </w:p>
        </w:tc>
        <w:tc>
          <w:tcPr>
            <w:tcW w:w="161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Инвестиции, млн.долл.США</w:t>
            </w:r>
          </w:p>
        </w:tc>
        <w:tc>
          <w:tcPr>
            <w:tcW w:w="219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Абсолютные приросты, млн. долл.США</w:t>
            </w:r>
          </w:p>
        </w:tc>
        <w:tc>
          <w:tcPr>
            <w:tcW w:w="219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Темпы роста, %</w:t>
            </w:r>
          </w:p>
        </w:tc>
        <w:tc>
          <w:tcPr>
            <w:tcW w:w="219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Темпы прироста, %</w:t>
            </w:r>
          </w:p>
        </w:tc>
      </w:tr>
      <w:tr w:rsidR="006D48CB" w:rsidRPr="006D3755" w:rsidTr="00CD0D4A">
        <w:trPr>
          <w:trHeight w:val="379"/>
        </w:trPr>
        <w:tc>
          <w:tcPr>
            <w:tcW w:w="109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48CB" w:rsidRPr="006D3755" w:rsidRDefault="006D48CB" w:rsidP="006D3755">
            <w:pPr>
              <w:spacing w:after="0" w:line="240" w:lineRule="auto"/>
              <w:rPr>
                <w:rFonts w:eastAsia="Times New Roman"/>
                <w:color w:val="000000"/>
                <w:lang w:eastAsia="ru-RU"/>
              </w:rPr>
            </w:pPr>
          </w:p>
        </w:tc>
        <w:tc>
          <w:tcPr>
            <w:tcW w:w="161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D48CB" w:rsidRPr="006D3755" w:rsidRDefault="006D48CB" w:rsidP="006D3755">
            <w:pPr>
              <w:spacing w:after="0" w:line="240" w:lineRule="auto"/>
              <w:rPr>
                <w:rFonts w:eastAsia="Times New Roman"/>
                <w:color w:val="000000"/>
                <w:lang w:eastAsia="ru-RU"/>
              </w:rPr>
            </w:pPr>
          </w:p>
        </w:tc>
        <w:tc>
          <w:tcPr>
            <w:tcW w:w="219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6D48CB" w:rsidRPr="006D3755" w:rsidRDefault="006D48CB" w:rsidP="006D3755">
            <w:pPr>
              <w:spacing w:after="0" w:line="240" w:lineRule="auto"/>
              <w:rPr>
                <w:rFonts w:eastAsia="Times New Roman"/>
                <w:color w:val="000000"/>
                <w:lang w:eastAsia="ru-RU"/>
              </w:rPr>
            </w:pPr>
          </w:p>
        </w:tc>
        <w:tc>
          <w:tcPr>
            <w:tcW w:w="219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6D48CB" w:rsidRPr="006D3755" w:rsidRDefault="006D48CB" w:rsidP="006D3755">
            <w:pPr>
              <w:spacing w:after="0" w:line="240" w:lineRule="auto"/>
              <w:rPr>
                <w:rFonts w:eastAsia="Times New Roman"/>
                <w:color w:val="000000"/>
                <w:lang w:eastAsia="ru-RU"/>
              </w:rPr>
            </w:pPr>
          </w:p>
        </w:tc>
        <w:tc>
          <w:tcPr>
            <w:tcW w:w="219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6D48CB" w:rsidRPr="006D3755" w:rsidRDefault="006D48CB" w:rsidP="006D3755">
            <w:pPr>
              <w:spacing w:after="0" w:line="240" w:lineRule="auto"/>
              <w:rPr>
                <w:rFonts w:eastAsia="Times New Roman"/>
                <w:color w:val="000000"/>
                <w:lang w:eastAsia="ru-RU"/>
              </w:rPr>
            </w:pP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2011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 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цепные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базисные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цепные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базисные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цепные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базисные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2012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50588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2013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69219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18631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18631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136,8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136,8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36,8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36,8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2014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22031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-47188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-28557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31,83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43,55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-68,17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-56,45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2015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6853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-15178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-43735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31,11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13,55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-68,89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-86,45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2016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32539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25686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-18049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474,8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64,32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374,8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-35,68</w:t>
            </w:r>
          </w:p>
        </w:tc>
      </w:tr>
      <w:tr w:rsidR="006D48CB" w:rsidRPr="006D3755" w:rsidTr="00CD0D4A">
        <w:trPr>
          <w:trHeight w:val="320"/>
        </w:trPr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350E8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2017</w:t>
            </w:r>
          </w:p>
        </w:tc>
        <w:tc>
          <w:tcPr>
            <w:tcW w:w="16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28684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-3855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-21904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88,15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 w:themeColor="text1"/>
              </w:rPr>
              <w:t>56,7</w:t>
            </w:r>
          </w:p>
        </w:tc>
        <w:tc>
          <w:tcPr>
            <w:tcW w:w="9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-11,85</w:t>
            </w:r>
          </w:p>
        </w:tc>
        <w:tc>
          <w:tcPr>
            <w:tcW w:w="12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8CB" w:rsidRPr="006D3755" w:rsidRDefault="006D48CB" w:rsidP="006D375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ru-RU"/>
              </w:rPr>
            </w:pPr>
            <w:r w:rsidRPr="006D3755">
              <w:rPr>
                <w:rFonts w:eastAsia="Times New Roman"/>
                <w:color w:val="000000"/>
              </w:rPr>
              <w:t>-43,3</w:t>
            </w:r>
          </w:p>
        </w:tc>
      </w:tr>
    </w:tbl>
    <w:p w:rsidR="006D48CB" w:rsidRPr="006D3755" w:rsidRDefault="006D48CB" w:rsidP="006D3755">
      <w:pPr>
        <w:spacing w:after="0" w:line="240" w:lineRule="auto"/>
        <w:ind w:firstLine="709"/>
        <w:jc w:val="both"/>
        <w:rPr>
          <w:rFonts w:eastAsia="Times New Roman"/>
          <w:color w:val="000000"/>
          <w:lang w:eastAsia="ru-RU"/>
        </w:rPr>
      </w:pPr>
    </w:p>
    <w:p w:rsidR="006D48CB" w:rsidRPr="00E9721C" w:rsidRDefault="006D48CB" w:rsidP="00EC642E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6D3755">
        <w:rPr>
          <w:rFonts w:eastAsia="Times New Roman"/>
          <w:color w:val="000000"/>
          <w:lang w:eastAsia="ru-RU"/>
        </w:rPr>
        <w:t>На основе вычисленных эконо</w:t>
      </w:r>
      <w:r w:rsidRPr="00E9721C">
        <w:rPr>
          <w:rFonts w:eastAsia="Times New Roman"/>
          <w:color w:val="000000"/>
          <w:lang w:eastAsia="ru-RU"/>
        </w:rPr>
        <w:t>мических показателей выявить тенденции динамики инвестиций в экономику Российской Федерации невозможно. Вычисленные цепные абсолютные приросты показывают, что инвестиции в каждом последующем году были неравномерными, так в 2014, 2015 и 2017 году объем инвестиций снижался, максимальное снижение произошло в 2014 году на 47188 млн.долл. по сравнению с 2013 г., в остальные годы объем инвестиций увеличился – максимально в 2016 году на 25686 млн.долл. 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lastRenderedPageBreak/>
        <w:t>Базисные абсолютные приросты свидетельствует, что по сравнению с 2012 г., только в 2013 году наблюдалось увеличение объема инвестиций на 18631 млн.долл., максимальное снижение произошло в 2015 году на 43735 млн.долл.</w:t>
      </w:r>
      <w:r w:rsidR="001942D1">
        <w:rPr>
          <w:rFonts w:eastAsia="Times New Roman"/>
          <w:color w:val="000000"/>
          <w:lang w:eastAsia="ru-RU"/>
        </w:rPr>
        <w:t xml:space="preserve"> США.</w:t>
      </w:r>
      <w:r w:rsidRPr="00E9721C">
        <w:rPr>
          <w:rFonts w:eastAsia="Times New Roman"/>
          <w:color w:val="000000"/>
          <w:lang w:eastAsia="ru-RU"/>
        </w:rPr>
        <w:t> </w:t>
      </w:r>
    </w:p>
    <w:p w:rsidR="006D48CB" w:rsidRPr="001942D1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Вычисленные темпы роста подтверждают, что выявить тенденции вложения инвестиций в экономику Российской Федерации невозможно. По сравнению с каждым предыдущим годом максимальный прирост произошёл в 2016 году на 374,8 % по сравнению с 2015 годом, минимальное значение было в 2015 году - снижение на 68,89% по сравнению с 2014 г. Базисные темпы показывают, что максимальный прирост был в 2013 году на 36,8% по сравнению с 2013 г., а минимальное значение в 2015 году - на 86,45% </w:t>
      </w:r>
      <w:r w:rsidR="00EC642E" w:rsidRPr="001942D1">
        <w:rPr>
          <w:rFonts w:eastAsia="Times New Roman"/>
          <w:color w:val="000000"/>
          <w:lang w:eastAsia="ru-RU"/>
        </w:rPr>
        <w:t>[4]</w:t>
      </w:r>
      <w:r w:rsidR="001942D1">
        <w:rPr>
          <w:rFonts w:eastAsia="Times New Roman"/>
          <w:color w:val="000000"/>
          <w:lang w:eastAsia="ru-RU"/>
        </w:rPr>
        <w:t>.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Средние показатели анализа ряда динамики демонстрируют, что за период 2012 – 2017гг. в среднем ежегодно инвертировалось в экономику Российской Федерации 34985,7 млн.долл., при этом объем инвестиций снижался на 771 млн.долл. ежегодно.</w:t>
      </w:r>
    </w:p>
    <w:p w:rsidR="006D48CB" w:rsidRPr="00EC642E" w:rsidRDefault="006D48CB" w:rsidP="006D48CB">
      <w:pPr>
        <w:spacing w:after="0" w:line="360" w:lineRule="auto"/>
        <w:ind w:firstLine="709"/>
        <w:jc w:val="both"/>
        <w:rPr>
          <w:rFonts w:eastAsia="Times New Roman"/>
          <w:noProof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Необходимо проанализировать какие факторы вели к тому, что ПИИ снижали свои объемы и по какой причине на данном этапе происходит отток иностранного капитала. Политическая нестабильность страны имеют огромную роль в негативном влиянии на этот процесс, так коррупция, износ производственных фондов и ужесточенная налоговая база страны уменьшают возможности прибыльного вложения иностранных инвесторов. Также не стоит забывать о санкциях, которые привели к максимальному снижению инвестиций в 2015 году, страхование рисков в РФ находится на низком уровне, то есть некоторые отрасли инвестирования не подлежат страхованию в стране, что в какой-то степени ведет к снижению заинтересованности у иностранного бизнеса.</w:t>
      </w:r>
      <w:r w:rsidRPr="00E9721C">
        <w:t xml:space="preserve"> Стоит рассмотреть динамику прямых инвестиций из России в </w:t>
      </w:r>
      <w:r w:rsidRPr="00E9721C">
        <w:rPr>
          <w:rFonts w:eastAsia="Times New Roman"/>
          <w:noProof/>
          <w:color w:val="000000"/>
          <w:lang w:eastAsia="ru-RU"/>
        </w:rPr>
        <w:t>экономику стран-крупнейших получателей прямых инвестиций(рис. 2)</w:t>
      </w:r>
      <w:r w:rsidR="00EC642E" w:rsidRPr="00EC642E">
        <w:rPr>
          <w:rFonts w:eastAsia="Times New Roman"/>
          <w:noProof/>
          <w:color w:val="000000"/>
          <w:lang w:eastAsia="ru-RU"/>
        </w:rPr>
        <w:t xml:space="preserve"> [1]</w:t>
      </w:r>
      <w:r w:rsidR="001942D1">
        <w:rPr>
          <w:rFonts w:eastAsia="Times New Roman"/>
          <w:noProof/>
          <w:color w:val="000000"/>
          <w:lang w:eastAsia="ru-RU"/>
        </w:rPr>
        <w:t>.</w:t>
      </w:r>
    </w:p>
    <w:p w:rsidR="006D48CB" w:rsidRPr="00E9721C" w:rsidRDefault="006D48CB" w:rsidP="006D48CB">
      <w:pPr>
        <w:spacing w:after="0" w:line="360" w:lineRule="auto"/>
        <w:ind w:firstLine="709"/>
        <w:jc w:val="center"/>
        <w:rPr>
          <w:rFonts w:eastAsia="Times New Roman"/>
          <w:noProof/>
          <w:color w:val="000000"/>
          <w:lang w:eastAsia="ru-RU"/>
        </w:rPr>
      </w:pPr>
      <w:r w:rsidRPr="00E9721C">
        <w:rPr>
          <w:rFonts w:eastAsia="Times New Roman"/>
          <w:noProof/>
          <w:color w:val="000000"/>
          <w:lang w:eastAsia="ru-RU"/>
        </w:rPr>
        <w:drawing>
          <wp:inline distT="0" distB="0" distL="0" distR="0">
            <wp:extent cx="4886960" cy="2333625"/>
            <wp:effectExtent l="19050" t="0" r="27940" b="0"/>
            <wp:docPr id="3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D48CB" w:rsidRPr="00EC642E" w:rsidRDefault="006D48CB" w:rsidP="006D48CB">
      <w:pPr>
        <w:spacing w:after="0" w:line="360" w:lineRule="auto"/>
        <w:ind w:firstLine="709"/>
        <w:jc w:val="center"/>
        <w:rPr>
          <w:color w:val="000000" w:themeColor="text1"/>
        </w:rPr>
      </w:pPr>
      <w:r w:rsidRPr="00E9721C">
        <w:t xml:space="preserve">Рисунок 2 - Прямые инвестиции из России в экономику стран-крупнейших </w:t>
      </w:r>
      <w:r w:rsidRPr="00E9721C">
        <w:rPr>
          <w:color w:val="000000" w:themeColor="text1"/>
        </w:rPr>
        <w:t>получателей прямых инвестиций в 2017 году(млн.долл.США)</w:t>
      </w:r>
      <w:r w:rsidR="00EC642E" w:rsidRPr="00EC642E">
        <w:rPr>
          <w:color w:val="000000" w:themeColor="text1"/>
        </w:rPr>
        <w:t xml:space="preserve"> [5]</w:t>
      </w:r>
    </w:p>
    <w:p w:rsidR="006D48CB" w:rsidRPr="00BA5335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lastRenderedPageBreak/>
        <w:t>Очевидно, что большая часть российских инвестиций приходится на остров Кипр, Австрию и Сингапур. Доверие к Кипру подтверждается повышением интереса иностранными инвесторами благодаря улучшению кредитного сектора, также участию  во многих международных рейтингах и разработке многочисленных масштабных проектов в разных сферах экономики острова. Следуя тенденциям заинтересованности иностранцами, кипрское </w:t>
      </w:r>
      <w:hyperlink r:id="rId8" w:history="1">
        <w:r w:rsidRPr="00E9721C">
          <w:rPr>
            <w:rFonts w:eastAsia="Times New Roman"/>
            <w:color w:val="000000"/>
            <w:lang w:eastAsia="ru-RU"/>
          </w:rPr>
          <w:t>правительство сосредоточило свое внимание на оптимизации процессов,</w:t>
        </w:r>
      </w:hyperlink>
      <w:r w:rsidRPr="00E9721C">
        <w:rPr>
          <w:rFonts w:eastAsia="Times New Roman"/>
          <w:color w:val="000000"/>
          <w:lang w:eastAsia="ru-RU"/>
        </w:rPr>
        <w:t> и вошло в двадцатку стран с наиболее заметным прогрессом в совершенствовании бизнес-среды, заняв 13 место.</w:t>
      </w:r>
      <w:r w:rsidR="00EC642E" w:rsidRPr="00EC642E">
        <w:rPr>
          <w:rFonts w:eastAsia="Times New Roman"/>
          <w:color w:val="000000"/>
          <w:lang w:eastAsia="ru-RU"/>
        </w:rPr>
        <w:t xml:space="preserve"> [</w:t>
      </w:r>
      <w:r w:rsidR="00EC642E" w:rsidRPr="00BA5335">
        <w:rPr>
          <w:rFonts w:eastAsia="Times New Roman"/>
          <w:color w:val="000000"/>
          <w:lang w:eastAsia="ru-RU"/>
        </w:rPr>
        <w:t>6]</w:t>
      </w:r>
    </w:p>
    <w:p w:rsidR="006D48CB" w:rsidRPr="00E9721C" w:rsidRDefault="006D48CB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>Таким образом, динамика инвестиций находится в постоянном изменении, то есть не имеет стабильно высокого объема, на это влияет различные факторы, но очевидно, что на данный момент времени Россия идет по пути устойчивого развития и поддержания данного процесса, взаимодействуя с высокоразвитыми странами.</w:t>
      </w:r>
    </w:p>
    <w:p w:rsidR="0029097A" w:rsidRPr="00E9721C" w:rsidRDefault="0029097A" w:rsidP="0029097A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  <w:r w:rsidRPr="00E9721C">
        <w:rPr>
          <w:rFonts w:eastAsia="Times New Roman"/>
          <w:color w:val="000000"/>
          <w:lang w:eastAsia="ru-RU"/>
        </w:rPr>
        <w:t xml:space="preserve">Для государства с сильной экономикой характерно наращивание экспорта и снижение импорта, это является главной задачей внешнеэкономической деятельности страны. Поэтому необходимо приложить все усилия, для производства конкурентоспособной продукции. Что касается развития основных отраслей, в которых присутствует большая доля импорта, можно сказать, что существует большая необходимость в переориентировке, воспроизведении данного продукта на территории РФ вместо ввоза из-за границы. К таким отраслям в России относятся станкостроение, тяжелое машиностроение, сельское хозяйство, легкая промышленность, фармацевтическое производство. </w:t>
      </w:r>
      <w:proofErr w:type="spellStart"/>
      <w:r w:rsidRPr="00E9721C">
        <w:rPr>
          <w:rFonts w:eastAsia="Times New Roman"/>
          <w:color w:val="000000"/>
          <w:lang w:eastAsia="ru-RU"/>
        </w:rPr>
        <w:t>Импортозамещение</w:t>
      </w:r>
      <w:proofErr w:type="spellEnd"/>
      <w:r w:rsidRPr="00E9721C">
        <w:rPr>
          <w:rFonts w:eastAsia="Times New Roman"/>
          <w:color w:val="000000"/>
          <w:lang w:eastAsia="ru-RU"/>
        </w:rPr>
        <w:t xml:space="preserve"> в данных отраслях возможно за счет создания производственных мощностей и создания конкурентоспособных предприятий.</w:t>
      </w:r>
    </w:p>
    <w:p w:rsidR="0029097A" w:rsidRDefault="0029097A" w:rsidP="006D48CB">
      <w:pPr>
        <w:spacing w:after="0" w:line="360" w:lineRule="auto"/>
        <w:ind w:firstLine="709"/>
        <w:jc w:val="both"/>
        <w:rPr>
          <w:rFonts w:eastAsia="Times New Roman"/>
          <w:color w:val="000000"/>
          <w:lang w:eastAsia="ru-RU"/>
        </w:rPr>
      </w:pPr>
    </w:p>
    <w:p w:rsidR="00545214" w:rsidRDefault="00545214" w:rsidP="00545214">
      <w:pPr>
        <w:spacing w:after="0" w:line="360" w:lineRule="auto"/>
        <w:ind w:firstLine="709"/>
        <w:jc w:val="center"/>
        <w:rPr>
          <w:rFonts w:eastAsia="Times New Roman"/>
          <w:color w:val="000000"/>
          <w:lang w:eastAsia="ru-RU"/>
        </w:rPr>
      </w:pPr>
      <w:r>
        <w:rPr>
          <w:rFonts w:eastAsia="Times New Roman"/>
          <w:color w:val="000000"/>
          <w:lang w:eastAsia="ru-RU"/>
        </w:rPr>
        <w:t>Список использованных источников</w:t>
      </w:r>
    </w:p>
    <w:p w:rsidR="00545214" w:rsidRPr="00545214" w:rsidRDefault="00545214" w:rsidP="00545214">
      <w:pPr>
        <w:tabs>
          <w:tab w:val="left" w:pos="1134"/>
        </w:tabs>
        <w:spacing w:after="0" w:line="360" w:lineRule="auto"/>
        <w:ind w:firstLine="567"/>
        <w:jc w:val="both"/>
      </w:pPr>
      <w:r>
        <w:t xml:space="preserve">1. </w:t>
      </w:r>
      <w:proofErr w:type="spellStart"/>
      <w:r w:rsidRPr="00545214">
        <w:t>Алтынбаева</w:t>
      </w:r>
      <w:proofErr w:type="spellEnd"/>
      <w:r w:rsidRPr="00545214">
        <w:t xml:space="preserve"> Л.Е. Взаимодействие старой и новой экономики как условие формирования национальной инновационной системы: монография / Л.Е. </w:t>
      </w:r>
      <w:proofErr w:type="spellStart"/>
      <w:r w:rsidRPr="00545214">
        <w:t>Алтынбаева</w:t>
      </w:r>
      <w:proofErr w:type="spellEnd"/>
      <w:r w:rsidRPr="00545214">
        <w:t xml:space="preserve">.- М.-Берлин: </w:t>
      </w:r>
      <w:proofErr w:type="spellStart"/>
      <w:r w:rsidRPr="00545214">
        <w:t>Директ</w:t>
      </w:r>
      <w:proofErr w:type="spellEnd"/>
      <w:r w:rsidRPr="00545214">
        <w:t>-Медиа, 2016. – 33 с</w:t>
      </w:r>
      <w:r>
        <w:t>.</w:t>
      </w:r>
    </w:p>
    <w:p w:rsidR="00545214" w:rsidRPr="00545214" w:rsidRDefault="00545214" w:rsidP="00545214">
      <w:pPr>
        <w:tabs>
          <w:tab w:val="left" w:pos="1134"/>
        </w:tabs>
        <w:spacing w:after="0" w:line="360" w:lineRule="auto"/>
        <w:ind w:firstLine="567"/>
        <w:jc w:val="both"/>
      </w:pPr>
      <w:r>
        <w:t xml:space="preserve">2. </w:t>
      </w:r>
      <w:proofErr w:type="spellStart"/>
      <w:r w:rsidRPr="00545214">
        <w:t>Безрукавая</w:t>
      </w:r>
      <w:proofErr w:type="spellEnd"/>
      <w:r w:rsidRPr="00545214">
        <w:t xml:space="preserve"> И.В., Бессонов В.А.,  Власенко Н.А.,  Кириченко И.А. и др., Инвестиции в России. 2017: Стат.сб./ Росстат. - М., 2017. – 188 с</w:t>
      </w:r>
      <w:r>
        <w:t>.</w:t>
      </w:r>
    </w:p>
    <w:p w:rsidR="00545214" w:rsidRPr="00545214" w:rsidRDefault="00545214" w:rsidP="00545214">
      <w:pPr>
        <w:tabs>
          <w:tab w:val="left" w:pos="1134"/>
        </w:tabs>
        <w:spacing w:after="0" w:line="360" w:lineRule="auto"/>
        <w:ind w:firstLine="567"/>
        <w:jc w:val="both"/>
      </w:pPr>
      <w:r>
        <w:rPr>
          <w:shd w:val="clear" w:color="auto" w:fill="FFFFFF"/>
        </w:rPr>
        <w:t xml:space="preserve">3. </w:t>
      </w:r>
      <w:r w:rsidRPr="00545214">
        <w:rPr>
          <w:shd w:val="clear" w:color="auto" w:fill="FFFFFF"/>
        </w:rPr>
        <w:t xml:space="preserve">Концепция долгосрочного социально-экономического развития Российской Федерации на период до 2020 года [Электронный ресурс]: / Официальный сайт Правительства Российской Федерации. – Режим доступа: </w:t>
      </w:r>
      <w:hyperlink r:id="rId9" w:history="1">
        <w:r w:rsidRPr="00EC642E">
          <w:rPr>
            <w:rStyle w:val="a6"/>
            <w:color w:val="auto"/>
            <w:u w:val="none"/>
            <w:shd w:val="clear" w:color="auto" w:fill="FFFFFF"/>
          </w:rPr>
          <w:t>http://government.ru</w:t>
        </w:r>
      </w:hyperlink>
      <w:r w:rsidRPr="00EC642E">
        <w:t xml:space="preserve"> </w:t>
      </w:r>
      <w:r w:rsidRPr="00545214">
        <w:t>(Дата обращения: 13.03.2019)</w:t>
      </w:r>
    </w:p>
    <w:p w:rsidR="00545214" w:rsidRPr="00545214" w:rsidRDefault="00545214" w:rsidP="00545214">
      <w:pPr>
        <w:tabs>
          <w:tab w:val="left" w:pos="1134"/>
        </w:tabs>
        <w:spacing w:after="0" w:line="360" w:lineRule="auto"/>
        <w:ind w:firstLine="567"/>
        <w:jc w:val="both"/>
      </w:pPr>
      <w:r>
        <w:t xml:space="preserve">4. </w:t>
      </w:r>
      <w:r w:rsidRPr="00545214">
        <w:t>Министерство финансов Российской Федерации – [Электронный ресурс].– Режим доступа: http://www.minfin.ru (Дата обращения: 10.03.2019)</w:t>
      </w:r>
    </w:p>
    <w:p w:rsidR="00545214" w:rsidRPr="00545214" w:rsidRDefault="00545214" w:rsidP="00545214">
      <w:pPr>
        <w:tabs>
          <w:tab w:val="left" w:pos="1134"/>
        </w:tabs>
        <w:spacing w:after="0" w:line="360" w:lineRule="auto"/>
        <w:ind w:firstLine="567"/>
        <w:jc w:val="both"/>
      </w:pPr>
      <w:r>
        <w:lastRenderedPageBreak/>
        <w:t xml:space="preserve">5. </w:t>
      </w:r>
      <w:r w:rsidRPr="00545214">
        <w:t>Российский статистический ежегодник [Электронный ресурс]. – Режим доступа: http://www.gks.ru/bgd/regl/b17_13/Main.htm (Дата обращения: 10.03.2019)</w:t>
      </w:r>
    </w:p>
    <w:p w:rsidR="00545214" w:rsidRPr="00545214" w:rsidRDefault="00545214" w:rsidP="00545214">
      <w:pPr>
        <w:spacing w:after="0" w:line="360" w:lineRule="auto"/>
        <w:ind w:firstLine="567"/>
        <w:jc w:val="both"/>
      </w:pPr>
      <w:r>
        <w:t xml:space="preserve">6. </w:t>
      </w:r>
      <w:r w:rsidRPr="00545214">
        <w:t xml:space="preserve">Российская экономика: финансовая система. / Под ред. Герасименко В.В., Городецкого Д.Е. - М.: МГУ, ТЕИС, 2016 г.- 275 с. </w:t>
      </w:r>
    </w:p>
    <w:p w:rsidR="00545214" w:rsidRPr="00545214" w:rsidRDefault="00545214" w:rsidP="00545214">
      <w:pPr>
        <w:spacing w:after="0" w:line="360" w:lineRule="auto"/>
        <w:ind w:left="709"/>
        <w:rPr>
          <w:rFonts w:eastAsia="Times New Roman"/>
          <w:color w:val="000000"/>
          <w:lang w:eastAsia="ru-RU"/>
        </w:rPr>
      </w:pPr>
    </w:p>
    <w:p w:rsidR="00A4085C" w:rsidRPr="00BA5335" w:rsidRDefault="0078621D" w:rsidP="0078621D">
      <w:pPr>
        <w:pStyle w:val="a3"/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Пилипенко Валерия Валерьевна (</w:t>
      </w:r>
      <w:r w:rsidR="00BA5335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Украина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Донецк) – старший преподаватель кафедры «Международная экономика» Донецкого национального университета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 г.Донецк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83001,    ул. Университетская</w:t>
      </w:r>
      <w:r w:rsidRPr="00BA5335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24, kf.international_economy@donnu.ru)</w:t>
      </w:r>
    </w:p>
    <w:p w:rsidR="00313485" w:rsidRPr="00BA5335" w:rsidRDefault="00313485" w:rsidP="0078621D">
      <w:pPr>
        <w:spacing w:after="0" w:line="240" w:lineRule="auto"/>
        <w:ind w:firstLine="567"/>
        <w:jc w:val="center"/>
        <w:rPr>
          <w:lang w:val="en-US"/>
        </w:rPr>
      </w:pPr>
    </w:p>
    <w:p w:rsidR="0078621D" w:rsidRPr="0078621D" w:rsidRDefault="0078621D" w:rsidP="0078621D">
      <w:pPr>
        <w:spacing w:after="0" w:line="240" w:lineRule="auto"/>
        <w:ind w:firstLine="567"/>
        <w:jc w:val="right"/>
        <w:rPr>
          <w:lang w:val="en-US"/>
        </w:rPr>
      </w:pPr>
      <w:proofErr w:type="spellStart"/>
      <w:r w:rsidRPr="0078621D">
        <w:rPr>
          <w:lang w:val="en-US"/>
        </w:rPr>
        <w:t>P</w:t>
      </w:r>
      <w:r>
        <w:rPr>
          <w:lang w:val="en-US"/>
        </w:rPr>
        <w:t>y</w:t>
      </w:r>
      <w:r w:rsidRPr="0078621D">
        <w:rPr>
          <w:lang w:val="en-US"/>
        </w:rPr>
        <w:t>l</w:t>
      </w:r>
      <w:r>
        <w:rPr>
          <w:lang w:val="en-US"/>
        </w:rPr>
        <w:t>y</w:t>
      </w:r>
      <w:r w:rsidRPr="0078621D">
        <w:rPr>
          <w:lang w:val="en-US"/>
        </w:rPr>
        <w:t>penko</w:t>
      </w:r>
      <w:proofErr w:type="spellEnd"/>
      <w:r w:rsidRPr="0078621D">
        <w:rPr>
          <w:lang w:val="en-US"/>
        </w:rPr>
        <w:t xml:space="preserve"> V.V.</w:t>
      </w:r>
    </w:p>
    <w:p w:rsidR="0078621D" w:rsidRPr="0078621D" w:rsidRDefault="0078621D" w:rsidP="0078621D">
      <w:pPr>
        <w:spacing w:after="0" w:line="240" w:lineRule="auto"/>
        <w:ind w:firstLine="567"/>
        <w:jc w:val="center"/>
        <w:rPr>
          <w:lang w:val="en-US"/>
        </w:rPr>
      </w:pPr>
      <w:r w:rsidRPr="0078621D">
        <w:rPr>
          <w:lang w:val="en-US"/>
        </w:rPr>
        <w:t>ANALYSIS OF FORMATION AND DEVELOPMENT OF ENTREPRENEURIAL CAPITAL AND ITS MAIN STRUCTURES IN THE RUSSIAN FEDERATION</w:t>
      </w:r>
    </w:p>
    <w:p w:rsidR="0078621D" w:rsidRPr="0078621D" w:rsidRDefault="0078621D" w:rsidP="0078621D">
      <w:pPr>
        <w:spacing w:after="0" w:line="240" w:lineRule="auto"/>
        <w:ind w:firstLine="567"/>
        <w:jc w:val="center"/>
        <w:rPr>
          <w:lang w:val="en-US"/>
        </w:rPr>
      </w:pPr>
    </w:p>
    <w:p w:rsidR="0078621D" w:rsidRPr="0078621D" w:rsidRDefault="0078621D" w:rsidP="0078621D">
      <w:pPr>
        <w:spacing w:after="0" w:line="240" w:lineRule="auto"/>
        <w:ind w:firstLine="567"/>
        <w:jc w:val="both"/>
        <w:rPr>
          <w:lang w:val="en-US"/>
        </w:rPr>
      </w:pPr>
      <w:r w:rsidRPr="0078621D">
        <w:rPr>
          <w:lang w:val="en-US"/>
        </w:rPr>
        <w:t>Annotation. The article analyzes the development of entrepreneurial capital and suggests an increase in the investment potential of Russia through the introduction of state control over the investment process.</w:t>
      </w:r>
    </w:p>
    <w:p w:rsidR="0078621D" w:rsidRPr="00DA1F3B" w:rsidRDefault="0078621D" w:rsidP="0078621D">
      <w:pPr>
        <w:spacing w:after="0" w:line="240" w:lineRule="auto"/>
        <w:ind w:firstLine="567"/>
        <w:jc w:val="both"/>
        <w:rPr>
          <w:lang w:val="en-US"/>
        </w:rPr>
      </w:pPr>
      <w:r w:rsidRPr="0078621D">
        <w:rPr>
          <w:lang w:val="en-US"/>
        </w:rPr>
        <w:t xml:space="preserve">Key words: entrepreneurial capital, foreign direct investment, foreign capital, shares, </w:t>
      </w:r>
      <w:r w:rsidR="00DA1F3B" w:rsidRPr="00DA1F3B">
        <w:rPr>
          <w:lang w:val="en-US"/>
        </w:rPr>
        <w:t xml:space="preserve">offshore </w:t>
      </w:r>
      <w:r w:rsidRPr="0078621D">
        <w:rPr>
          <w:lang w:val="en-US"/>
        </w:rPr>
        <w:t>areas.</w:t>
      </w:r>
    </w:p>
    <w:p w:rsidR="007073CA" w:rsidRPr="00DA1F3B" w:rsidRDefault="007073CA" w:rsidP="007073CA">
      <w:pPr>
        <w:spacing w:after="0" w:line="240" w:lineRule="auto"/>
        <w:ind w:firstLine="567"/>
        <w:jc w:val="both"/>
        <w:rPr>
          <w:lang w:val="en-US"/>
        </w:rPr>
      </w:pPr>
    </w:p>
    <w:p w:rsidR="007073CA" w:rsidRPr="007073CA" w:rsidRDefault="007073CA" w:rsidP="007073CA">
      <w:pPr>
        <w:spacing w:after="0" w:line="240" w:lineRule="auto"/>
        <w:ind w:firstLine="567"/>
        <w:jc w:val="center"/>
        <w:rPr>
          <w:lang w:val="en-US"/>
        </w:rPr>
      </w:pPr>
      <w:r w:rsidRPr="007073CA">
        <w:rPr>
          <w:lang w:val="en-US"/>
        </w:rPr>
        <w:t>List of used sources</w:t>
      </w:r>
    </w:p>
    <w:p w:rsidR="007073CA" w:rsidRPr="007073CA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 xml:space="preserve">1. </w:t>
      </w:r>
      <w:proofErr w:type="spellStart"/>
      <w:r w:rsidRPr="007073CA">
        <w:rPr>
          <w:lang w:val="en-US"/>
        </w:rPr>
        <w:t>Altynbaeva</w:t>
      </w:r>
      <w:proofErr w:type="spellEnd"/>
      <w:r w:rsidRPr="007073CA">
        <w:rPr>
          <w:lang w:val="en-US"/>
        </w:rPr>
        <w:t xml:space="preserve"> </w:t>
      </w:r>
      <w:proofErr w:type="spellStart"/>
      <w:r w:rsidRPr="007073CA">
        <w:rPr>
          <w:lang w:val="en-US"/>
        </w:rPr>
        <w:t>L.Ye</w:t>
      </w:r>
      <w:proofErr w:type="spellEnd"/>
      <w:r w:rsidRPr="007073CA">
        <w:rPr>
          <w:lang w:val="en-US"/>
        </w:rPr>
        <w:t xml:space="preserve">., Interaction between the old and the new economy as a condition for the formation of a national innovation system: monograph / L.E. </w:t>
      </w:r>
      <w:proofErr w:type="spellStart"/>
      <w:r w:rsidRPr="007073CA">
        <w:rPr>
          <w:lang w:val="en-US"/>
        </w:rPr>
        <w:t>Altynbayeva</w:t>
      </w:r>
      <w:proofErr w:type="spellEnd"/>
      <w:proofErr w:type="gramStart"/>
      <w:r w:rsidRPr="007073CA">
        <w:rPr>
          <w:lang w:val="en-US"/>
        </w:rPr>
        <w:t>.-</w:t>
      </w:r>
      <w:proofErr w:type="gramEnd"/>
      <w:r w:rsidRPr="007073CA">
        <w:rPr>
          <w:lang w:val="en-US"/>
        </w:rPr>
        <w:t xml:space="preserve"> M.-Berlin: Direct Media, 2016. - 33 p.</w:t>
      </w:r>
    </w:p>
    <w:p w:rsidR="007073CA" w:rsidRPr="007073CA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 xml:space="preserve">2. </w:t>
      </w:r>
      <w:proofErr w:type="spellStart"/>
      <w:r w:rsidRPr="007073CA">
        <w:rPr>
          <w:lang w:val="en-US"/>
        </w:rPr>
        <w:t>Bezrukavaya</w:t>
      </w:r>
      <w:proofErr w:type="spellEnd"/>
      <w:r w:rsidRPr="007073CA">
        <w:rPr>
          <w:lang w:val="en-US"/>
        </w:rPr>
        <w:t xml:space="preserve"> I.V., </w:t>
      </w:r>
      <w:proofErr w:type="spellStart"/>
      <w:r w:rsidRPr="007073CA">
        <w:rPr>
          <w:lang w:val="en-US"/>
        </w:rPr>
        <w:t>Bessonov</w:t>
      </w:r>
      <w:proofErr w:type="spellEnd"/>
      <w:r w:rsidRPr="007073CA">
        <w:rPr>
          <w:lang w:val="en-US"/>
        </w:rPr>
        <w:t xml:space="preserve"> V.A., </w:t>
      </w:r>
      <w:proofErr w:type="spellStart"/>
      <w:r w:rsidRPr="007073CA">
        <w:rPr>
          <w:lang w:val="en-US"/>
        </w:rPr>
        <w:t>Vlasenko</w:t>
      </w:r>
      <w:proofErr w:type="spellEnd"/>
      <w:r w:rsidRPr="007073CA">
        <w:rPr>
          <w:lang w:val="en-US"/>
        </w:rPr>
        <w:t xml:space="preserve"> N.A., </w:t>
      </w:r>
      <w:proofErr w:type="spellStart"/>
      <w:r w:rsidRPr="007073CA">
        <w:rPr>
          <w:lang w:val="en-US"/>
        </w:rPr>
        <w:t>Kirichenko</w:t>
      </w:r>
      <w:proofErr w:type="spellEnd"/>
      <w:r w:rsidRPr="007073CA">
        <w:rPr>
          <w:lang w:val="en-US"/>
        </w:rPr>
        <w:t xml:space="preserve"> I.A. et al., Investments in Russia. 2017: Stat.sb./ </w:t>
      </w:r>
      <w:proofErr w:type="spellStart"/>
      <w:r w:rsidRPr="007073CA">
        <w:rPr>
          <w:lang w:val="en-US"/>
        </w:rPr>
        <w:t>Rosstat</w:t>
      </w:r>
      <w:proofErr w:type="spellEnd"/>
      <w:r w:rsidRPr="007073CA">
        <w:rPr>
          <w:lang w:val="en-US"/>
        </w:rPr>
        <w:t>. - M., 2017. - 188 p.</w:t>
      </w:r>
    </w:p>
    <w:p w:rsidR="007073CA" w:rsidRPr="007073CA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>3. The concept of long-term socio-economic development of the Russian Federation for the period up to 2020 [Electronic resource]: / Official website of the Government of the Russian Federation. - Access mode: http://government.ru (Appeal date: 13.03.2019)</w:t>
      </w:r>
    </w:p>
    <w:p w:rsidR="007073CA" w:rsidRPr="007073CA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>4. Ministry of Finance of the Russian Federation - [Electronic resource</w:t>
      </w:r>
      <w:proofErr w:type="gramStart"/>
      <w:r w:rsidRPr="007073CA">
        <w:rPr>
          <w:lang w:val="en-US"/>
        </w:rPr>
        <w:t>] .</w:t>
      </w:r>
      <w:proofErr w:type="gramEnd"/>
      <w:r w:rsidRPr="007073CA">
        <w:rPr>
          <w:lang w:val="en-US"/>
        </w:rPr>
        <w:t>– Access mode: http://www.minfin.ru (Circulation date: 03/10/2019)</w:t>
      </w:r>
    </w:p>
    <w:p w:rsidR="007073CA" w:rsidRPr="007073CA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>5. Russian statistical yearbook [Electronic resource]. - Access Mode: http://www.gks.ru/bgd/regl/b17_13/Main.htm (Access Date: 03/10/2019)</w:t>
      </w:r>
    </w:p>
    <w:p w:rsidR="0078621D" w:rsidRPr="00BA5335" w:rsidRDefault="007073CA" w:rsidP="007073CA">
      <w:pPr>
        <w:spacing w:after="0" w:line="360" w:lineRule="auto"/>
        <w:ind w:firstLine="567"/>
        <w:jc w:val="both"/>
        <w:rPr>
          <w:lang w:val="en-US"/>
        </w:rPr>
      </w:pPr>
      <w:r w:rsidRPr="007073CA">
        <w:rPr>
          <w:lang w:val="en-US"/>
        </w:rPr>
        <w:t xml:space="preserve">6. Russian economy: financial system. / Ed. </w:t>
      </w:r>
      <w:proofErr w:type="spellStart"/>
      <w:r w:rsidRPr="007073CA">
        <w:rPr>
          <w:lang w:val="en-US"/>
        </w:rPr>
        <w:t>Gerasimenko</w:t>
      </w:r>
      <w:proofErr w:type="spellEnd"/>
      <w:r w:rsidRPr="007073CA">
        <w:rPr>
          <w:lang w:val="en-US"/>
        </w:rPr>
        <w:t xml:space="preserve"> V.V., </w:t>
      </w:r>
      <w:proofErr w:type="spellStart"/>
      <w:r w:rsidRPr="007073CA">
        <w:rPr>
          <w:lang w:val="en-US"/>
        </w:rPr>
        <w:t>Gorodetsky</w:t>
      </w:r>
      <w:proofErr w:type="spellEnd"/>
      <w:r w:rsidRPr="007073CA">
        <w:rPr>
          <w:lang w:val="en-US"/>
        </w:rPr>
        <w:t xml:space="preserve"> D.E. - </w:t>
      </w:r>
      <w:proofErr w:type="gramStart"/>
      <w:r w:rsidRPr="007073CA">
        <w:rPr>
          <w:lang w:val="en-US"/>
        </w:rPr>
        <w:t>M .</w:t>
      </w:r>
      <w:proofErr w:type="gramEnd"/>
      <w:r w:rsidRPr="007073CA">
        <w:rPr>
          <w:lang w:val="en-US"/>
        </w:rPr>
        <w:t>: MSU, TEIS, 2016 - 275 p.</w:t>
      </w:r>
    </w:p>
    <w:p w:rsidR="007073CA" w:rsidRPr="00BA5335" w:rsidRDefault="007073CA" w:rsidP="007073CA">
      <w:pPr>
        <w:spacing w:after="0" w:line="360" w:lineRule="auto"/>
        <w:ind w:firstLine="567"/>
        <w:jc w:val="both"/>
        <w:rPr>
          <w:lang w:val="en-US"/>
        </w:rPr>
      </w:pPr>
    </w:p>
    <w:p w:rsidR="007073CA" w:rsidRPr="007073CA" w:rsidRDefault="007073CA" w:rsidP="007073CA">
      <w:pPr>
        <w:spacing w:after="0" w:line="240" w:lineRule="auto"/>
        <w:ind w:firstLine="567"/>
        <w:jc w:val="both"/>
        <w:rPr>
          <w:lang w:val="en-US"/>
        </w:rPr>
      </w:pPr>
      <w:proofErr w:type="spellStart"/>
      <w:r w:rsidRPr="007073CA">
        <w:rPr>
          <w:lang w:val="en-US"/>
        </w:rPr>
        <w:t>P</w:t>
      </w:r>
      <w:r>
        <w:rPr>
          <w:lang w:val="en-US"/>
        </w:rPr>
        <w:t>y</w:t>
      </w:r>
      <w:r w:rsidRPr="007073CA">
        <w:rPr>
          <w:lang w:val="en-US"/>
        </w:rPr>
        <w:t>l</w:t>
      </w:r>
      <w:r>
        <w:rPr>
          <w:lang w:val="en-US"/>
        </w:rPr>
        <w:t>y</w:t>
      </w:r>
      <w:r w:rsidRPr="007073CA">
        <w:rPr>
          <w:lang w:val="en-US"/>
        </w:rPr>
        <w:t>penko</w:t>
      </w:r>
      <w:proofErr w:type="spellEnd"/>
      <w:r w:rsidRPr="007073CA">
        <w:rPr>
          <w:lang w:val="en-US"/>
        </w:rPr>
        <w:t xml:space="preserve"> Valeria </w:t>
      </w:r>
      <w:proofErr w:type="spellStart"/>
      <w:r w:rsidRPr="007073CA">
        <w:rPr>
          <w:lang w:val="en-US"/>
        </w:rPr>
        <w:t>Valerievna</w:t>
      </w:r>
      <w:proofErr w:type="spellEnd"/>
      <w:r w:rsidRPr="007073CA">
        <w:rPr>
          <w:lang w:val="en-US"/>
        </w:rPr>
        <w:t xml:space="preserve"> (</w:t>
      </w:r>
      <w:r w:rsidR="00BA5335" w:rsidRPr="00BA5335">
        <w:rPr>
          <w:lang w:val="en-US"/>
        </w:rPr>
        <w:t>Ukraine</w:t>
      </w:r>
      <w:r w:rsidRPr="007073CA">
        <w:rPr>
          <w:lang w:val="en-US"/>
        </w:rPr>
        <w:t xml:space="preserve">, Donetsk) - Senior Lecturer at the Department of International Economics, Donetsk National University (Donetsk, 83001, </w:t>
      </w:r>
      <w:proofErr w:type="spellStart"/>
      <w:r w:rsidRPr="007073CA">
        <w:rPr>
          <w:lang w:val="en-US"/>
        </w:rPr>
        <w:t>Universitetskaya</w:t>
      </w:r>
      <w:proofErr w:type="spellEnd"/>
      <w:r w:rsidRPr="007073CA">
        <w:rPr>
          <w:lang w:val="en-US"/>
        </w:rPr>
        <w:t xml:space="preserve"> 24, kf.international_economy@donnu.ru)</w:t>
      </w:r>
    </w:p>
    <w:sectPr w:rsidR="007073CA" w:rsidRPr="007073CA" w:rsidSect="006D375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BB410C"/>
    <w:multiLevelType w:val="hybridMultilevel"/>
    <w:tmpl w:val="4C7222F4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7A34AC2"/>
    <w:multiLevelType w:val="hybridMultilevel"/>
    <w:tmpl w:val="83DC18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7514D4"/>
    <w:multiLevelType w:val="hybridMultilevel"/>
    <w:tmpl w:val="F980382C"/>
    <w:lvl w:ilvl="0" w:tplc="04190011">
      <w:start w:val="1"/>
      <w:numFmt w:val="decimal"/>
      <w:lvlText w:val="%1)"/>
      <w:lvlJc w:val="left"/>
      <w:pPr>
        <w:ind w:left="1482" w:hanging="360"/>
      </w:pPr>
    </w:lvl>
    <w:lvl w:ilvl="1" w:tplc="04190019" w:tentative="1">
      <w:start w:val="1"/>
      <w:numFmt w:val="lowerLetter"/>
      <w:lvlText w:val="%2."/>
      <w:lvlJc w:val="left"/>
      <w:pPr>
        <w:ind w:left="2202" w:hanging="360"/>
      </w:pPr>
    </w:lvl>
    <w:lvl w:ilvl="2" w:tplc="0419001B" w:tentative="1">
      <w:start w:val="1"/>
      <w:numFmt w:val="lowerRoman"/>
      <w:lvlText w:val="%3."/>
      <w:lvlJc w:val="right"/>
      <w:pPr>
        <w:ind w:left="2922" w:hanging="180"/>
      </w:pPr>
    </w:lvl>
    <w:lvl w:ilvl="3" w:tplc="0419000F" w:tentative="1">
      <w:start w:val="1"/>
      <w:numFmt w:val="decimal"/>
      <w:lvlText w:val="%4."/>
      <w:lvlJc w:val="left"/>
      <w:pPr>
        <w:ind w:left="3642" w:hanging="360"/>
      </w:pPr>
    </w:lvl>
    <w:lvl w:ilvl="4" w:tplc="04190019" w:tentative="1">
      <w:start w:val="1"/>
      <w:numFmt w:val="lowerLetter"/>
      <w:lvlText w:val="%5."/>
      <w:lvlJc w:val="left"/>
      <w:pPr>
        <w:ind w:left="4362" w:hanging="360"/>
      </w:pPr>
    </w:lvl>
    <w:lvl w:ilvl="5" w:tplc="0419001B" w:tentative="1">
      <w:start w:val="1"/>
      <w:numFmt w:val="lowerRoman"/>
      <w:lvlText w:val="%6."/>
      <w:lvlJc w:val="right"/>
      <w:pPr>
        <w:ind w:left="5082" w:hanging="180"/>
      </w:pPr>
    </w:lvl>
    <w:lvl w:ilvl="6" w:tplc="0419000F" w:tentative="1">
      <w:start w:val="1"/>
      <w:numFmt w:val="decimal"/>
      <w:lvlText w:val="%7."/>
      <w:lvlJc w:val="left"/>
      <w:pPr>
        <w:ind w:left="5802" w:hanging="360"/>
      </w:pPr>
    </w:lvl>
    <w:lvl w:ilvl="7" w:tplc="04190019" w:tentative="1">
      <w:start w:val="1"/>
      <w:numFmt w:val="lowerLetter"/>
      <w:lvlText w:val="%8."/>
      <w:lvlJc w:val="left"/>
      <w:pPr>
        <w:ind w:left="6522" w:hanging="360"/>
      </w:pPr>
    </w:lvl>
    <w:lvl w:ilvl="8" w:tplc="0419001B" w:tentative="1">
      <w:start w:val="1"/>
      <w:numFmt w:val="lowerRoman"/>
      <w:lvlText w:val="%9."/>
      <w:lvlJc w:val="right"/>
      <w:pPr>
        <w:ind w:left="7242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485"/>
    <w:rsid w:val="001942D1"/>
    <w:rsid w:val="0029097A"/>
    <w:rsid w:val="002D342D"/>
    <w:rsid w:val="00313485"/>
    <w:rsid w:val="00350E8E"/>
    <w:rsid w:val="003F6756"/>
    <w:rsid w:val="00401947"/>
    <w:rsid w:val="0046283F"/>
    <w:rsid w:val="00545214"/>
    <w:rsid w:val="005F49D1"/>
    <w:rsid w:val="006D3755"/>
    <w:rsid w:val="006D48CB"/>
    <w:rsid w:val="007073CA"/>
    <w:rsid w:val="00732451"/>
    <w:rsid w:val="0078621D"/>
    <w:rsid w:val="008E6921"/>
    <w:rsid w:val="009B7CE8"/>
    <w:rsid w:val="00A4085C"/>
    <w:rsid w:val="00B461AA"/>
    <w:rsid w:val="00BA5335"/>
    <w:rsid w:val="00C30896"/>
    <w:rsid w:val="00C33050"/>
    <w:rsid w:val="00D3495E"/>
    <w:rsid w:val="00DA1F3B"/>
    <w:rsid w:val="00E71958"/>
    <w:rsid w:val="00E9721C"/>
    <w:rsid w:val="00EC642E"/>
    <w:rsid w:val="00EE4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0EE1EB2-AC2C-436D-80D1-4E22C1D91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61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3485"/>
    <w:pPr>
      <w:ind w:left="720"/>
      <w:contextualSpacing/>
    </w:pPr>
    <w:rPr>
      <w:rFonts w:asciiTheme="minorHAnsi" w:hAnsiTheme="minorHAnsi" w:cstheme="minorBidi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D48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D48C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452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ationalwealth.info/news-of-the-offshore/cyprus-is-now-among-the-eu-leaders-in-resource-management/" TargetMode="External"/><Relationship Id="rId3" Type="http://schemas.openxmlformats.org/officeDocument/2006/relationships/styles" Target="styles.xml"/><Relationship Id="rId7" Type="http://schemas.openxmlformats.org/officeDocument/2006/relationships/chart" Target="charts/chart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government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tx1"/>
            </a:solidFill>
            <a:scene3d>
              <a:camera prst="orthographicFront"/>
              <a:lightRig rig="balanced" dir="t">
                <a:rot lat="0" lon="0" rev="8700000"/>
              </a:lightRig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Лист1!$A$4:$A$10</c:f>
              <c:strCache>
                <c:ptCount val="7"/>
                <c:pt idx="0">
                  <c:v>Сингапур</c:v>
                </c:pt>
                <c:pt idx="1">
                  <c:v>Соединенное Королевство</c:v>
                </c:pt>
                <c:pt idx="2">
                  <c:v>Швейцария</c:v>
                </c:pt>
                <c:pt idx="3">
                  <c:v>Бермуды</c:v>
                </c:pt>
                <c:pt idx="4">
                  <c:v>Ирландия</c:v>
                </c:pt>
                <c:pt idx="5">
                  <c:v>Франция</c:v>
                </c:pt>
                <c:pt idx="6">
                  <c:v>Джерси</c:v>
                </c:pt>
              </c:strCache>
            </c:strRef>
          </c:cat>
          <c:val>
            <c:numRef>
              <c:f>Лист1!$B$4:$B$10</c:f>
              <c:numCache>
                <c:formatCode>General</c:formatCode>
                <c:ptCount val="7"/>
                <c:pt idx="0">
                  <c:v>8693</c:v>
                </c:pt>
                <c:pt idx="1">
                  <c:v>6211</c:v>
                </c:pt>
                <c:pt idx="2">
                  <c:v>3378</c:v>
                </c:pt>
                <c:pt idx="3">
                  <c:v>2703</c:v>
                </c:pt>
                <c:pt idx="4">
                  <c:v>2102</c:v>
                </c:pt>
                <c:pt idx="5">
                  <c:v>1511</c:v>
                </c:pt>
                <c:pt idx="6">
                  <c:v>1366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-25"/>
        <c:axId val="184714072"/>
        <c:axId val="184711720"/>
      </c:barChart>
      <c:catAx>
        <c:axId val="184714072"/>
        <c:scaling>
          <c:orientation val="minMax"/>
        </c:scaling>
        <c:delete val="0"/>
        <c:axPos val="l"/>
        <c:numFmt formatCode="General" sourceLinked="0"/>
        <c:majorTickMark val="none"/>
        <c:minorTickMark val="none"/>
        <c:tickLblPos val="nextTo"/>
        <c:txPr>
          <a:bodyPr/>
          <a:lstStyle/>
          <a:p>
            <a:pPr>
              <a:defRPr sz="12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84711720"/>
        <c:crosses val="autoZero"/>
        <c:auto val="1"/>
        <c:lblAlgn val="ctr"/>
        <c:lblOffset val="100"/>
        <c:noMultiLvlLbl val="0"/>
      </c:catAx>
      <c:valAx>
        <c:axId val="184711720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one"/>
        <c:crossAx val="184714072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tx1"/>
            </a:solidFill>
            <a:scene3d>
              <a:camera prst="orthographicFront"/>
              <a:lightRig rig="threePt" dir="t"/>
            </a:scene3d>
            <a:sp3d>
              <a:bevelT w="190500" h="38100"/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strRef>
              <c:f>Лист1!$A$35:$A$43</c:f>
              <c:strCache>
                <c:ptCount val="9"/>
                <c:pt idx="0">
                  <c:v>Кипр</c:v>
                </c:pt>
                <c:pt idx="1">
                  <c:v>Австрия</c:v>
                </c:pt>
                <c:pt idx="2">
                  <c:v>Сингапур</c:v>
                </c:pt>
                <c:pt idx="3">
                  <c:v>Швейцария</c:v>
                </c:pt>
                <c:pt idx="4">
                  <c:v>Люксембург</c:v>
                </c:pt>
                <c:pt idx="5">
                  <c:v>Виргинские острова (Брит.)</c:v>
                </c:pt>
                <c:pt idx="6">
                  <c:v>Багамы</c:v>
                </c:pt>
                <c:pt idx="7">
                  <c:v>Джерси</c:v>
                </c:pt>
                <c:pt idx="8">
                  <c:v>Казахстан</c:v>
                </c:pt>
              </c:strCache>
            </c:strRef>
          </c:cat>
          <c:val>
            <c:numRef>
              <c:f>Лист1!$B$35:$B$43</c:f>
              <c:numCache>
                <c:formatCode>General</c:formatCode>
                <c:ptCount val="9"/>
                <c:pt idx="0">
                  <c:v>21352</c:v>
                </c:pt>
                <c:pt idx="1">
                  <c:v>6739</c:v>
                </c:pt>
                <c:pt idx="2">
                  <c:v>6136</c:v>
                </c:pt>
                <c:pt idx="3">
                  <c:v>2281</c:v>
                </c:pt>
                <c:pt idx="4">
                  <c:v>1856</c:v>
                </c:pt>
                <c:pt idx="5">
                  <c:v>1401</c:v>
                </c:pt>
                <c:pt idx="6">
                  <c:v>1300</c:v>
                </c:pt>
                <c:pt idx="7">
                  <c:v>865</c:v>
                </c:pt>
                <c:pt idx="8">
                  <c:v>727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461996424"/>
        <c:axId val="181047032"/>
      </c:barChart>
      <c:catAx>
        <c:axId val="461996424"/>
        <c:scaling>
          <c:orientation val="minMax"/>
        </c:scaling>
        <c:delete val="0"/>
        <c:axPos val="l"/>
        <c:numFmt formatCode="General" sourceLinked="0"/>
        <c:majorTickMark val="none"/>
        <c:minorTickMark val="none"/>
        <c:tickLblPos val="nextTo"/>
        <c:txPr>
          <a:bodyPr/>
          <a:lstStyle/>
          <a:p>
            <a:pPr>
              <a:defRPr sz="1100"/>
            </a:pPr>
            <a:endParaRPr lang="ru-RU"/>
          </a:p>
        </c:txPr>
        <c:crossAx val="181047032"/>
        <c:crosses val="autoZero"/>
        <c:auto val="1"/>
        <c:lblAlgn val="ctr"/>
        <c:lblOffset val="100"/>
        <c:noMultiLvlLbl val="0"/>
      </c:catAx>
      <c:valAx>
        <c:axId val="181047032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one"/>
        <c:crossAx val="461996424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1FA281-9AC1-4B3C-897B-173D4950F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1612</Words>
  <Characters>9193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Толик</dc:creator>
  <cp:lastModifiedBy>Екатерина Георгиевна Леонидова</cp:lastModifiedBy>
  <cp:revision>2</cp:revision>
  <dcterms:created xsi:type="dcterms:W3CDTF">2019-05-13T05:44:00Z</dcterms:created>
  <dcterms:modified xsi:type="dcterms:W3CDTF">2019-05-13T05:44:00Z</dcterms:modified>
</cp:coreProperties>
</file>