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6C7E" w:rsidRPr="00FD6C7E" w:rsidRDefault="00FD6C7E" w:rsidP="002A68FE">
      <w:pPr>
        <w:widowControl w:val="0"/>
        <w:ind w:firstLine="567"/>
        <w:jc w:val="both"/>
        <w:rPr>
          <w:rFonts w:eastAsiaTheme="minorHAnsi"/>
          <w:lang w:eastAsia="en-US"/>
        </w:rPr>
      </w:pPr>
      <w:bookmarkStart w:id="0" w:name="_GoBack"/>
      <w:bookmarkEnd w:id="0"/>
      <w:r w:rsidRPr="00FD6C7E">
        <w:rPr>
          <w:rFonts w:eastAsiaTheme="minorHAnsi"/>
          <w:lang w:eastAsia="en-US"/>
        </w:rPr>
        <w:t xml:space="preserve">УДК </w:t>
      </w:r>
      <w:r w:rsidR="003B08D7" w:rsidRPr="003B08D7">
        <w:rPr>
          <w:rFonts w:eastAsiaTheme="minorHAnsi"/>
          <w:lang w:eastAsia="en-US"/>
        </w:rPr>
        <w:t>336.025</w:t>
      </w:r>
    </w:p>
    <w:p w:rsidR="00FD6C7E" w:rsidRPr="00FD6C7E" w:rsidRDefault="00FD6C7E" w:rsidP="002A68FE">
      <w:pPr>
        <w:widowControl w:val="0"/>
        <w:ind w:firstLine="567"/>
        <w:jc w:val="right"/>
        <w:rPr>
          <w:b/>
        </w:rPr>
      </w:pPr>
      <w:proofErr w:type="spellStart"/>
      <w:r w:rsidRPr="00FD6C7E">
        <w:rPr>
          <w:b/>
        </w:rPr>
        <w:t>Брингель</w:t>
      </w:r>
      <w:proofErr w:type="spellEnd"/>
      <w:r w:rsidRPr="00FD6C7E">
        <w:rPr>
          <w:b/>
        </w:rPr>
        <w:t xml:space="preserve"> П.В., Янушевская Е.Э.</w:t>
      </w:r>
    </w:p>
    <w:p w:rsidR="00FD6C7E" w:rsidRPr="00FD6C7E" w:rsidRDefault="00FD6C7E" w:rsidP="002A68FE">
      <w:pPr>
        <w:widowControl w:val="0"/>
        <w:ind w:firstLine="567"/>
        <w:jc w:val="center"/>
        <w:rPr>
          <w:rFonts w:eastAsiaTheme="minorHAnsi"/>
          <w:b/>
          <w:lang w:eastAsia="en-US"/>
        </w:rPr>
      </w:pPr>
      <w:r w:rsidRPr="00FD6C7E">
        <w:rPr>
          <w:b/>
        </w:rPr>
        <w:t>НАЛОГОВАЯ ПОЛИТИКА РЕСПУБЛИКИ БЕЛАРУСЬ</w:t>
      </w:r>
      <w:r w:rsidRPr="00FD6C7E">
        <w:rPr>
          <w:rFonts w:eastAsiaTheme="minorHAnsi"/>
          <w:b/>
          <w:lang w:eastAsia="en-US"/>
        </w:rPr>
        <w:t xml:space="preserve"> </w:t>
      </w:r>
    </w:p>
    <w:p w:rsidR="00FD6C7E" w:rsidRPr="00FD6C7E" w:rsidRDefault="00FD6C7E" w:rsidP="002A68FE">
      <w:pPr>
        <w:widowControl w:val="0"/>
        <w:ind w:firstLine="567"/>
        <w:jc w:val="center"/>
        <w:rPr>
          <w:b/>
        </w:rPr>
      </w:pPr>
    </w:p>
    <w:p w:rsidR="00FD6C7E" w:rsidRPr="00FD6C7E" w:rsidRDefault="00FD6C7E" w:rsidP="002A68FE">
      <w:pPr>
        <w:widowControl w:val="0"/>
        <w:ind w:firstLine="567"/>
        <w:jc w:val="both"/>
        <w:rPr>
          <w:i/>
        </w:rPr>
      </w:pPr>
      <w:r w:rsidRPr="00FD6C7E">
        <w:rPr>
          <w:rFonts w:eastAsiaTheme="minorHAnsi"/>
          <w:b/>
          <w:lang w:eastAsia="en-US"/>
        </w:rPr>
        <w:t>Аннотация:</w:t>
      </w:r>
      <w:r w:rsidRPr="00FD6C7E">
        <w:rPr>
          <w:rFonts w:eastAsiaTheme="minorHAnsi"/>
          <w:lang w:eastAsia="en-US"/>
        </w:rPr>
        <w:t xml:space="preserve"> </w:t>
      </w:r>
      <w:r w:rsidRPr="00FD6C7E">
        <w:rPr>
          <w:i/>
        </w:rPr>
        <w:t>В статье рассмотрен</w:t>
      </w:r>
      <w:r w:rsidR="00C2532C" w:rsidRPr="000148A9">
        <w:rPr>
          <w:i/>
        </w:rPr>
        <w:t>ы особенности налоговой политики</w:t>
      </w:r>
      <w:r w:rsidRPr="00FD6C7E">
        <w:rPr>
          <w:i/>
        </w:rPr>
        <w:t xml:space="preserve"> Республики Беларусь</w:t>
      </w:r>
      <w:r w:rsidR="00C2532C" w:rsidRPr="000148A9">
        <w:rPr>
          <w:i/>
        </w:rPr>
        <w:t xml:space="preserve"> на современном этапе</w:t>
      </w:r>
      <w:r w:rsidRPr="00FD6C7E">
        <w:rPr>
          <w:i/>
        </w:rPr>
        <w:t xml:space="preserve">. </w:t>
      </w:r>
      <w:r w:rsidR="000148A9" w:rsidRPr="000148A9">
        <w:rPr>
          <w:i/>
        </w:rPr>
        <w:t>Анализируется положение Республики Беларусь в отчете Всемирного банка «Ведение бизнеса». Отмечены основные проблемы налоговой политики.</w:t>
      </w:r>
    </w:p>
    <w:p w:rsidR="00FD6C7E" w:rsidRPr="00FD6C7E" w:rsidRDefault="00FD6C7E" w:rsidP="002A68FE">
      <w:pPr>
        <w:widowControl w:val="0"/>
        <w:ind w:firstLine="567"/>
        <w:jc w:val="both"/>
        <w:rPr>
          <w:rFonts w:eastAsiaTheme="minorHAnsi"/>
          <w:i/>
          <w:lang w:eastAsia="en-US"/>
        </w:rPr>
      </w:pPr>
      <w:r w:rsidRPr="00FD6C7E">
        <w:rPr>
          <w:rFonts w:eastAsiaTheme="minorHAnsi"/>
          <w:b/>
          <w:lang w:eastAsia="en-US"/>
        </w:rPr>
        <w:t xml:space="preserve">Ключевые слова: </w:t>
      </w:r>
      <w:r w:rsidRPr="00FD6C7E">
        <w:rPr>
          <w:rFonts w:eastAsiaTheme="minorHAnsi"/>
          <w:i/>
          <w:lang w:eastAsia="en-US"/>
        </w:rPr>
        <w:t>нало</w:t>
      </w:r>
      <w:r>
        <w:rPr>
          <w:rFonts w:eastAsiaTheme="minorHAnsi"/>
          <w:i/>
          <w:lang w:eastAsia="en-US"/>
        </w:rPr>
        <w:t>г, налоговая политика</w:t>
      </w:r>
      <w:r w:rsidR="00C2532C">
        <w:rPr>
          <w:rFonts w:eastAsiaTheme="minorHAnsi"/>
          <w:i/>
          <w:lang w:eastAsia="en-US"/>
        </w:rPr>
        <w:t>, налоговые доходы.</w:t>
      </w:r>
    </w:p>
    <w:p w:rsidR="00FD6C7E" w:rsidRPr="00FD6C7E" w:rsidRDefault="00FD6C7E" w:rsidP="002A68FE">
      <w:pPr>
        <w:widowControl w:val="0"/>
        <w:ind w:firstLine="567"/>
        <w:jc w:val="center"/>
        <w:rPr>
          <w:b/>
        </w:rPr>
      </w:pPr>
    </w:p>
    <w:p w:rsidR="00FD6C7E" w:rsidRDefault="00FD6C7E" w:rsidP="002A68FE">
      <w:pPr>
        <w:widowControl w:val="0"/>
        <w:ind w:firstLine="567"/>
        <w:jc w:val="both"/>
      </w:pPr>
      <w:r>
        <w:t>П</w:t>
      </w:r>
      <w:r w:rsidR="006C109E" w:rsidRPr="00FD6C7E">
        <w:t>рогрессивной налоговой политик</w:t>
      </w:r>
      <w:r>
        <w:t>е</w:t>
      </w:r>
      <w:r w:rsidR="006C109E" w:rsidRPr="00FD6C7E">
        <w:t xml:space="preserve"> Республики Беларусь сегодня уделяется достаточно пристальное внимание, так как от того, насколько правильно построена система налогообложения, насколько продумана налоговая политика государства, зависит эффективное функционирование всего народного хозяйства.</w:t>
      </w:r>
      <w:r>
        <w:t xml:space="preserve"> </w:t>
      </w:r>
    </w:p>
    <w:p w:rsidR="006C109E" w:rsidRPr="00FD6C7E" w:rsidRDefault="006C109E" w:rsidP="002A68FE">
      <w:pPr>
        <w:widowControl w:val="0"/>
        <w:ind w:firstLine="567"/>
        <w:jc w:val="both"/>
      </w:pPr>
      <w:r w:rsidRPr="00FD6C7E">
        <w:t>Налоговая политика – комплекс правовых действий органов власти и управления, определяющий целенаправленное использование налоговых законов. Это также правовые нормы осуществления налоговой техники при регулировании, планировании и к</w:t>
      </w:r>
      <w:r w:rsidR="00E97D2F" w:rsidRPr="00FD6C7E">
        <w:t xml:space="preserve">онтроле государственных доходов </w:t>
      </w:r>
      <w:r w:rsidR="00584C6A" w:rsidRPr="00FD6C7E">
        <w:t>[1</w:t>
      </w:r>
      <w:r w:rsidR="00E97D2F" w:rsidRPr="00FD6C7E">
        <w:t xml:space="preserve">, </w:t>
      </w:r>
      <w:r w:rsidR="00E97D2F" w:rsidRPr="00FD6C7E">
        <w:rPr>
          <w:lang w:val="en-US"/>
        </w:rPr>
        <w:t>c</w:t>
      </w:r>
      <w:r w:rsidR="00E97D2F" w:rsidRPr="00FD6C7E">
        <w:t xml:space="preserve">. 231]. </w:t>
      </w:r>
    </w:p>
    <w:p w:rsidR="006C109E" w:rsidRPr="00FD6C7E" w:rsidRDefault="006C109E" w:rsidP="002A68FE">
      <w:pPr>
        <w:widowControl w:val="0"/>
        <w:ind w:firstLine="567"/>
        <w:jc w:val="both"/>
      </w:pPr>
      <w:r w:rsidRPr="00FD6C7E">
        <w:t>Цели налоговой политики формируются под воздействием целого ряда факторов, важными из которых считаются</w:t>
      </w:r>
      <w:r w:rsidR="00FD6C7E">
        <w:t>:</w:t>
      </w:r>
      <w:r w:rsidRPr="00FD6C7E">
        <w:t xml:space="preserve"> экономическая</w:t>
      </w:r>
      <w:r w:rsidR="00FD6C7E">
        <w:t xml:space="preserve"> и социальная ситуация в стране;</w:t>
      </w:r>
      <w:r w:rsidRPr="00FD6C7E">
        <w:t xml:space="preserve"> расстановка социально-политических сил в обществе.</w:t>
      </w:r>
    </w:p>
    <w:p w:rsidR="006C109E" w:rsidRPr="00FD6C7E" w:rsidRDefault="006C109E" w:rsidP="002A68FE">
      <w:pPr>
        <w:widowControl w:val="0"/>
        <w:ind w:firstLine="567"/>
        <w:jc w:val="both"/>
      </w:pPr>
      <w:r w:rsidRPr="00FD6C7E">
        <w:t xml:space="preserve">Налоговая политика в Республике Беларусь проводится </w:t>
      </w:r>
      <w:r w:rsidR="00FD6C7E">
        <w:t xml:space="preserve">в соответствии </w:t>
      </w:r>
      <w:r w:rsidRPr="00FD6C7E">
        <w:t xml:space="preserve">с целями и приоритетами, определенными </w:t>
      </w:r>
      <w:r w:rsidR="00FD6C7E">
        <w:t>П</w:t>
      </w:r>
      <w:r w:rsidRPr="00FD6C7E">
        <w:t>рограммой социально-экономического развития Республики Беларусь. Основные методы регулирования, использованные в налоговой практике:</w:t>
      </w:r>
      <w:r w:rsidR="00FD6C7E">
        <w:t xml:space="preserve"> </w:t>
      </w:r>
      <w:r w:rsidRPr="00FD6C7E">
        <w:t>предоставление налоговых кредитов и отсрочек;</w:t>
      </w:r>
      <w:r w:rsidR="00FD6C7E">
        <w:t xml:space="preserve"> </w:t>
      </w:r>
      <w:r w:rsidRPr="00FD6C7E">
        <w:t>установление налоговых льгот;</w:t>
      </w:r>
      <w:r w:rsidR="00FD6C7E">
        <w:t xml:space="preserve"> </w:t>
      </w:r>
      <w:r w:rsidRPr="00FD6C7E">
        <w:t>включение в систему дополнительных налогов и сборов;</w:t>
      </w:r>
      <w:r w:rsidR="00FD6C7E">
        <w:t xml:space="preserve"> </w:t>
      </w:r>
      <w:r w:rsidRPr="00FD6C7E">
        <w:t>использование метода ускоренной амортизации;</w:t>
      </w:r>
      <w:r w:rsidR="00FD6C7E">
        <w:t xml:space="preserve"> </w:t>
      </w:r>
      <w:r w:rsidRPr="00FD6C7E">
        <w:t>расширение круга налогоплательщиков;</w:t>
      </w:r>
      <w:r w:rsidR="00FD6C7E">
        <w:t xml:space="preserve"> </w:t>
      </w:r>
      <w:r w:rsidRPr="00FD6C7E">
        <w:t>дифференциация ставок налогов.</w:t>
      </w:r>
    </w:p>
    <w:p w:rsidR="006C109E" w:rsidRPr="00FD6C7E" w:rsidRDefault="006C109E" w:rsidP="002A68FE">
      <w:pPr>
        <w:widowControl w:val="0"/>
        <w:ind w:firstLine="567"/>
        <w:jc w:val="both"/>
      </w:pPr>
      <w:r w:rsidRPr="00FD6C7E">
        <w:t>Налоговая политика Республики Беларусь на современном этапе развития направлена на упрощение налогообложения субъектов хозяйствования и уменьшение налоговой нагрузки. Особое внимание в реализации налоговой политики уделяется инновационно-инвестиционной деятельности субъектов хозяйствования.</w:t>
      </w:r>
    </w:p>
    <w:p w:rsidR="00AB4082" w:rsidRPr="00FD6C7E" w:rsidRDefault="00AB4082" w:rsidP="002A68FE">
      <w:pPr>
        <w:widowControl w:val="0"/>
        <w:ind w:firstLine="567"/>
        <w:jc w:val="both"/>
      </w:pPr>
      <w:r w:rsidRPr="00FD6C7E">
        <w:t>Формирование налоговых доходов обеспечено за счет различных поступлений:</w:t>
      </w:r>
      <w:r w:rsidR="00FD6C7E">
        <w:t xml:space="preserve"> </w:t>
      </w:r>
      <w:r w:rsidRPr="00FD6C7E">
        <w:t>налог</w:t>
      </w:r>
      <w:r w:rsidR="002A68FE">
        <w:t>а</w:t>
      </w:r>
      <w:r w:rsidRPr="00FD6C7E">
        <w:t xml:space="preserve"> на собственность;</w:t>
      </w:r>
      <w:r w:rsidR="002A68FE">
        <w:t xml:space="preserve"> </w:t>
      </w:r>
      <w:r w:rsidRPr="00FD6C7E">
        <w:t>налог на добавленную стоимость;</w:t>
      </w:r>
      <w:r w:rsidR="002A68FE">
        <w:t xml:space="preserve"> </w:t>
      </w:r>
      <w:r w:rsidRPr="00FD6C7E">
        <w:t>налог на прибыль;</w:t>
      </w:r>
      <w:r w:rsidR="002A68FE">
        <w:t xml:space="preserve"> </w:t>
      </w:r>
      <w:r w:rsidRPr="00FD6C7E">
        <w:t>подоходный налог;</w:t>
      </w:r>
      <w:r w:rsidR="002A68FE">
        <w:t xml:space="preserve"> </w:t>
      </w:r>
      <w:r w:rsidRPr="00FD6C7E">
        <w:t>акцизы;</w:t>
      </w:r>
      <w:r w:rsidR="002A68FE">
        <w:t xml:space="preserve"> </w:t>
      </w:r>
      <w:r w:rsidRPr="00FD6C7E">
        <w:t>налоговые доходы от внешнеэкономической деятельности.</w:t>
      </w:r>
    </w:p>
    <w:p w:rsidR="00AB4082" w:rsidRDefault="00AB4082" w:rsidP="002A68FE">
      <w:pPr>
        <w:widowControl w:val="0"/>
        <w:ind w:firstLine="567"/>
        <w:jc w:val="both"/>
      </w:pPr>
      <w:r w:rsidRPr="00FD6C7E">
        <w:t xml:space="preserve">Динамика поступлений налоговых доходов консолидированного бюджета </w:t>
      </w:r>
      <w:r w:rsidR="002A68FE">
        <w:t xml:space="preserve">Беларуси </w:t>
      </w:r>
      <w:r w:rsidRPr="00FD6C7E">
        <w:t>представлена в таблице 1.</w:t>
      </w:r>
    </w:p>
    <w:p w:rsidR="002A68FE" w:rsidRPr="00FD6C7E" w:rsidRDefault="002A68FE" w:rsidP="002A68FE">
      <w:pPr>
        <w:widowControl w:val="0"/>
        <w:ind w:firstLine="567"/>
        <w:jc w:val="both"/>
      </w:pPr>
    </w:p>
    <w:p w:rsidR="00AB4082" w:rsidRPr="002A68FE" w:rsidRDefault="00AB4082" w:rsidP="002A68FE">
      <w:pPr>
        <w:widowControl w:val="0"/>
        <w:ind w:firstLine="567"/>
        <w:jc w:val="center"/>
      </w:pPr>
      <w:r w:rsidRPr="002A68FE">
        <w:t xml:space="preserve">Таблица 1 </w:t>
      </w:r>
      <w:r w:rsidR="002A68FE">
        <w:t>–</w:t>
      </w:r>
      <w:r w:rsidRPr="002A68FE">
        <w:t xml:space="preserve"> Динамика поступлений налоговых доходов консолидированного бюджета Республики Беларусь за 2015-2017 гг., млн. руб.</w:t>
      </w:r>
    </w:p>
    <w:tbl>
      <w:tblPr>
        <w:tblStyle w:val="a5"/>
        <w:tblW w:w="0" w:type="auto"/>
        <w:tblInd w:w="108" w:type="dxa"/>
        <w:tblLook w:val="04A0" w:firstRow="1" w:lastRow="0" w:firstColumn="1" w:lastColumn="0" w:noHBand="0" w:noVBand="1"/>
      </w:tblPr>
      <w:tblGrid>
        <w:gridCol w:w="3119"/>
        <w:gridCol w:w="1276"/>
        <w:gridCol w:w="1275"/>
        <w:gridCol w:w="1276"/>
        <w:gridCol w:w="1224"/>
        <w:gridCol w:w="1414"/>
      </w:tblGrid>
      <w:tr w:rsidR="00AB4082" w:rsidRPr="002A68FE" w:rsidTr="002A68FE">
        <w:trPr>
          <w:trHeight w:val="318"/>
        </w:trPr>
        <w:tc>
          <w:tcPr>
            <w:tcW w:w="3119" w:type="dxa"/>
            <w:vMerge w:val="restart"/>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Показатели</w:t>
            </w:r>
          </w:p>
        </w:tc>
        <w:tc>
          <w:tcPr>
            <w:tcW w:w="1276" w:type="dxa"/>
            <w:vMerge w:val="restart"/>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2015 год, млн. руб.</w:t>
            </w:r>
          </w:p>
        </w:tc>
        <w:tc>
          <w:tcPr>
            <w:tcW w:w="1275" w:type="dxa"/>
            <w:vMerge w:val="restart"/>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2016 год, млн. руб.</w:t>
            </w:r>
          </w:p>
        </w:tc>
        <w:tc>
          <w:tcPr>
            <w:tcW w:w="1276" w:type="dxa"/>
            <w:vMerge w:val="restart"/>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2017 год, млн. руб.</w:t>
            </w:r>
          </w:p>
        </w:tc>
        <w:tc>
          <w:tcPr>
            <w:tcW w:w="2638" w:type="dxa"/>
            <w:gridSpan w:val="2"/>
            <w:tcBorders>
              <w:bottom w:val="single" w:sz="4" w:space="0" w:color="auto"/>
            </w:tcBorders>
          </w:tcPr>
          <w:p w:rsidR="00AB4082" w:rsidRPr="002A68FE" w:rsidRDefault="002A68FE" w:rsidP="002A68FE">
            <w:pPr>
              <w:widowControl w:val="0"/>
              <w:jc w:val="center"/>
              <w:rPr>
                <w:rFonts w:ascii="Arial" w:hAnsi="Arial" w:cs="Arial"/>
                <w:sz w:val="18"/>
                <w:szCs w:val="18"/>
              </w:rPr>
            </w:pPr>
            <w:r>
              <w:rPr>
                <w:rFonts w:ascii="Arial" w:hAnsi="Arial" w:cs="Arial"/>
                <w:bCs/>
                <w:color w:val="000000" w:themeColor="text1"/>
                <w:sz w:val="18"/>
                <w:szCs w:val="18"/>
              </w:rPr>
              <w:t>Темп роста</w:t>
            </w:r>
            <w:r w:rsidR="00AB4082" w:rsidRPr="002A68FE">
              <w:rPr>
                <w:rFonts w:ascii="Arial" w:hAnsi="Arial" w:cs="Arial"/>
                <w:bCs/>
                <w:color w:val="000000" w:themeColor="text1"/>
                <w:sz w:val="18"/>
                <w:szCs w:val="18"/>
              </w:rPr>
              <w:t>, %</w:t>
            </w:r>
          </w:p>
        </w:tc>
      </w:tr>
      <w:tr w:rsidR="00AB4082" w:rsidRPr="002A68FE" w:rsidTr="002A68FE">
        <w:trPr>
          <w:trHeight w:val="159"/>
        </w:trPr>
        <w:tc>
          <w:tcPr>
            <w:tcW w:w="3119" w:type="dxa"/>
            <w:vMerge/>
          </w:tcPr>
          <w:p w:rsidR="00AB4082" w:rsidRPr="002A68FE" w:rsidRDefault="00AB4082" w:rsidP="002A68FE">
            <w:pPr>
              <w:widowControl w:val="0"/>
              <w:jc w:val="center"/>
              <w:rPr>
                <w:rFonts w:ascii="Arial" w:hAnsi="Arial" w:cs="Arial"/>
                <w:sz w:val="18"/>
                <w:szCs w:val="18"/>
              </w:rPr>
            </w:pPr>
          </w:p>
        </w:tc>
        <w:tc>
          <w:tcPr>
            <w:tcW w:w="1276" w:type="dxa"/>
            <w:vMerge/>
          </w:tcPr>
          <w:p w:rsidR="00AB4082" w:rsidRPr="002A68FE" w:rsidRDefault="00AB4082" w:rsidP="002A68FE">
            <w:pPr>
              <w:widowControl w:val="0"/>
              <w:jc w:val="center"/>
              <w:rPr>
                <w:rFonts w:ascii="Arial" w:hAnsi="Arial" w:cs="Arial"/>
                <w:sz w:val="18"/>
                <w:szCs w:val="18"/>
              </w:rPr>
            </w:pPr>
          </w:p>
        </w:tc>
        <w:tc>
          <w:tcPr>
            <w:tcW w:w="1275" w:type="dxa"/>
            <w:vMerge/>
          </w:tcPr>
          <w:p w:rsidR="00AB4082" w:rsidRPr="002A68FE" w:rsidRDefault="00AB4082" w:rsidP="002A68FE">
            <w:pPr>
              <w:widowControl w:val="0"/>
              <w:jc w:val="center"/>
              <w:rPr>
                <w:rFonts w:ascii="Arial" w:hAnsi="Arial" w:cs="Arial"/>
                <w:sz w:val="18"/>
                <w:szCs w:val="18"/>
              </w:rPr>
            </w:pPr>
          </w:p>
        </w:tc>
        <w:tc>
          <w:tcPr>
            <w:tcW w:w="1276" w:type="dxa"/>
            <w:vMerge/>
          </w:tcPr>
          <w:p w:rsidR="00AB4082" w:rsidRPr="002A68FE" w:rsidRDefault="00AB4082" w:rsidP="002A68FE">
            <w:pPr>
              <w:widowControl w:val="0"/>
              <w:jc w:val="center"/>
              <w:rPr>
                <w:rFonts w:ascii="Arial" w:hAnsi="Arial" w:cs="Arial"/>
                <w:sz w:val="18"/>
                <w:szCs w:val="18"/>
              </w:rPr>
            </w:pPr>
          </w:p>
        </w:tc>
        <w:tc>
          <w:tcPr>
            <w:tcW w:w="1224" w:type="dxa"/>
            <w:tcBorders>
              <w:top w:val="single" w:sz="4" w:space="0" w:color="auto"/>
            </w:tcBorders>
          </w:tcPr>
          <w:p w:rsidR="00AB4082" w:rsidRPr="002A68FE" w:rsidRDefault="00AB4082" w:rsidP="002A68FE">
            <w:pPr>
              <w:widowControl w:val="0"/>
              <w:jc w:val="center"/>
              <w:rPr>
                <w:rFonts w:ascii="Arial" w:hAnsi="Arial" w:cs="Arial"/>
                <w:sz w:val="18"/>
                <w:szCs w:val="18"/>
              </w:rPr>
            </w:pPr>
            <w:r w:rsidRPr="002A68FE">
              <w:rPr>
                <w:rFonts w:ascii="Arial" w:hAnsi="Arial" w:cs="Arial"/>
                <w:bCs/>
                <w:color w:val="000000" w:themeColor="text1"/>
                <w:sz w:val="18"/>
                <w:szCs w:val="18"/>
              </w:rPr>
              <w:t>2015/2016</w:t>
            </w:r>
          </w:p>
        </w:tc>
        <w:tc>
          <w:tcPr>
            <w:tcW w:w="1414" w:type="dxa"/>
            <w:tcBorders>
              <w:top w:val="single" w:sz="4" w:space="0" w:color="auto"/>
            </w:tcBorders>
          </w:tcPr>
          <w:p w:rsidR="00AB4082" w:rsidRPr="002A68FE" w:rsidRDefault="00AB4082" w:rsidP="002A68FE">
            <w:pPr>
              <w:widowControl w:val="0"/>
              <w:jc w:val="center"/>
              <w:rPr>
                <w:rFonts w:ascii="Arial" w:hAnsi="Arial" w:cs="Arial"/>
                <w:sz w:val="18"/>
                <w:szCs w:val="18"/>
              </w:rPr>
            </w:pPr>
            <w:r w:rsidRPr="002A68FE">
              <w:rPr>
                <w:rFonts w:ascii="Arial" w:hAnsi="Arial" w:cs="Arial"/>
                <w:bCs/>
                <w:color w:val="000000" w:themeColor="text1"/>
                <w:sz w:val="18"/>
                <w:szCs w:val="18"/>
              </w:rPr>
              <w:t>2016/2017</w:t>
            </w:r>
          </w:p>
        </w:tc>
      </w:tr>
      <w:tr w:rsidR="00AB4082" w:rsidRPr="002A68FE" w:rsidTr="002A68FE">
        <w:trPr>
          <w:trHeight w:val="319"/>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Налоговые доходы (всего):</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22276,7</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23852,2</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26340,5</w:t>
            </w:r>
          </w:p>
        </w:tc>
        <w:tc>
          <w:tcPr>
            <w:tcW w:w="122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6,6</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9,4</w:t>
            </w:r>
          </w:p>
        </w:tc>
      </w:tr>
      <w:tr w:rsidR="00AB4082" w:rsidRPr="002A68FE" w:rsidTr="002A68FE">
        <w:trPr>
          <w:trHeight w:val="268"/>
        </w:trPr>
        <w:tc>
          <w:tcPr>
            <w:tcW w:w="3119" w:type="dxa"/>
          </w:tcPr>
          <w:p w:rsidR="00AB4082" w:rsidRPr="002A68FE" w:rsidRDefault="002A68FE" w:rsidP="002A68FE">
            <w:pPr>
              <w:widowControl w:val="0"/>
              <w:jc w:val="both"/>
              <w:rPr>
                <w:rFonts w:ascii="Arial" w:hAnsi="Arial" w:cs="Arial"/>
                <w:sz w:val="18"/>
                <w:szCs w:val="18"/>
              </w:rPr>
            </w:pPr>
            <w:r>
              <w:rPr>
                <w:rFonts w:ascii="Arial" w:hAnsi="Arial" w:cs="Arial"/>
                <w:sz w:val="18"/>
                <w:szCs w:val="18"/>
              </w:rPr>
              <w:t xml:space="preserve">в т.ч. </w:t>
            </w:r>
            <w:r w:rsidR="00AB4082" w:rsidRPr="002A68FE">
              <w:rPr>
                <w:rFonts w:ascii="Arial" w:hAnsi="Arial" w:cs="Arial"/>
                <w:sz w:val="18"/>
                <w:szCs w:val="18"/>
              </w:rPr>
              <w:t>налоги на собственность</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1233,6</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1592,3</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1615,4</w:t>
            </w:r>
          </w:p>
        </w:tc>
        <w:tc>
          <w:tcPr>
            <w:tcW w:w="122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22,5</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1,4</w:t>
            </w:r>
          </w:p>
        </w:tc>
      </w:tr>
      <w:tr w:rsidR="00AB4082" w:rsidRPr="002A68FE" w:rsidTr="002A68FE">
        <w:trPr>
          <w:trHeight w:val="258"/>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налог на добавленную стоимость</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7267,1</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9247,7</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8235</w:t>
            </w:r>
          </w:p>
        </w:tc>
        <w:tc>
          <w:tcPr>
            <w:tcW w:w="122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21,4</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-12,3</w:t>
            </w:r>
          </w:p>
        </w:tc>
      </w:tr>
      <w:tr w:rsidR="00AB4082" w:rsidRPr="002A68FE" w:rsidTr="002A68FE">
        <w:trPr>
          <w:trHeight w:val="263"/>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налог на прибыль</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2181,9</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2325</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2915,1</w:t>
            </w:r>
          </w:p>
        </w:tc>
        <w:tc>
          <w:tcPr>
            <w:tcW w:w="1224" w:type="dxa"/>
            <w:tcBorders>
              <w:bottom w:val="single" w:sz="4" w:space="0" w:color="auto"/>
            </w:tcBorders>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6,2</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20,2</w:t>
            </w:r>
          </w:p>
        </w:tc>
      </w:tr>
      <w:tr w:rsidR="00AB4082" w:rsidRPr="002A68FE" w:rsidTr="002A68FE">
        <w:trPr>
          <w:trHeight w:val="140"/>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подоходный налог</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3700,9</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3937,9</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4338,6</w:t>
            </w:r>
          </w:p>
        </w:tc>
        <w:tc>
          <w:tcPr>
            <w:tcW w:w="1224" w:type="dxa"/>
            <w:tcBorders>
              <w:top w:val="single" w:sz="4" w:space="0" w:color="auto"/>
            </w:tcBorders>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6,01</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9,2</w:t>
            </w:r>
          </w:p>
        </w:tc>
      </w:tr>
      <w:tr w:rsidR="00AB4082" w:rsidRPr="002A68FE" w:rsidTr="002A68FE">
        <w:trPr>
          <w:trHeight w:val="129"/>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акцизы</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1944,2</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2185,6</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2342,5</w:t>
            </w:r>
          </w:p>
        </w:tc>
        <w:tc>
          <w:tcPr>
            <w:tcW w:w="122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11</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6,7</w:t>
            </w:r>
          </w:p>
        </w:tc>
      </w:tr>
      <w:tr w:rsidR="00AB4082" w:rsidRPr="002A68FE" w:rsidTr="002A68FE">
        <w:trPr>
          <w:trHeight w:val="557"/>
        </w:trPr>
        <w:tc>
          <w:tcPr>
            <w:tcW w:w="3119" w:type="dxa"/>
          </w:tcPr>
          <w:p w:rsidR="00AB4082" w:rsidRPr="002A68FE" w:rsidRDefault="00AB4082" w:rsidP="002A68FE">
            <w:pPr>
              <w:widowControl w:val="0"/>
              <w:jc w:val="both"/>
              <w:rPr>
                <w:rFonts w:ascii="Arial" w:hAnsi="Arial" w:cs="Arial"/>
                <w:sz w:val="18"/>
                <w:szCs w:val="18"/>
              </w:rPr>
            </w:pPr>
            <w:r w:rsidRPr="002A68FE">
              <w:rPr>
                <w:rFonts w:ascii="Arial" w:hAnsi="Arial" w:cs="Arial"/>
                <w:sz w:val="18"/>
                <w:szCs w:val="18"/>
              </w:rPr>
              <w:t>налоговые доходы от внешнеэкономической деятельности.</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3918,6</w:t>
            </w:r>
          </w:p>
        </w:tc>
        <w:tc>
          <w:tcPr>
            <w:tcW w:w="1275"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3431,8</w:t>
            </w:r>
          </w:p>
        </w:tc>
        <w:tc>
          <w:tcPr>
            <w:tcW w:w="1276"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3546,6</w:t>
            </w:r>
          </w:p>
        </w:tc>
        <w:tc>
          <w:tcPr>
            <w:tcW w:w="122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-14,2</w:t>
            </w:r>
          </w:p>
        </w:tc>
        <w:tc>
          <w:tcPr>
            <w:tcW w:w="1414" w:type="dxa"/>
          </w:tcPr>
          <w:p w:rsidR="00AB4082" w:rsidRPr="002A68FE" w:rsidRDefault="00AB4082" w:rsidP="002A68FE">
            <w:pPr>
              <w:widowControl w:val="0"/>
              <w:jc w:val="center"/>
              <w:rPr>
                <w:rFonts w:ascii="Arial" w:hAnsi="Arial" w:cs="Arial"/>
                <w:sz w:val="18"/>
                <w:szCs w:val="18"/>
              </w:rPr>
            </w:pPr>
            <w:r w:rsidRPr="002A68FE">
              <w:rPr>
                <w:rFonts w:ascii="Arial" w:hAnsi="Arial" w:cs="Arial"/>
                <w:sz w:val="18"/>
                <w:szCs w:val="18"/>
              </w:rPr>
              <w:t>3,2</w:t>
            </w:r>
          </w:p>
        </w:tc>
      </w:tr>
    </w:tbl>
    <w:p w:rsidR="00AB4082" w:rsidRPr="002A68FE" w:rsidRDefault="00AB4082" w:rsidP="002A68FE">
      <w:pPr>
        <w:widowControl w:val="0"/>
        <w:jc w:val="both"/>
      </w:pPr>
      <w:r w:rsidRPr="002A68FE">
        <w:t>Источник: собственная разработка автора на основании данных [3]</w:t>
      </w:r>
    </w:p>
    <w:p w:rsidR="002A68FE" w:rsidRDefault="002A68FE" w:rsidP="002A68FE">
      <w:pPr>
        <w:widowControl w:val="0"/>
        <w:ind w:firstLine="567"/>
        <w:jc w:val="both"/>
      </w:pPr>
    </w:p>
    <w:p w:rsidR="00AB4082" w:rsidRPr="00FD6C7E" w:rsidRDefault="002A68FE" w:rsidP="002A68FE">
      <w:pPr>
        <w:widowControl w:val="0"/>
        <w:ind w:firstLine="567"/>
        <w:jc w:val="both"/>
      </w:pPr>
      <w:r>
        <w:t>Как видно из данных таблицы 1, о</w:t>
      </w:r>
      <w:r w:rsidR="00AB4082" w:rsidRPr="00FD6C7E">
        <w:t xml:space="preserve">сновная доля доходов консолидированного бюджета </w:t>
      </w:r>
      <w:r>
        <w:t xml:space="preserve">Беларуси </w:t>
      </w:r>
      <w:r w:rsidR="00AB4082" w:rsidRPr="00FD6C7E">
        <w:t xml:space="preserve">сформирована за счет налоговых поступлений. </w:t>
      </w:r>
      <w:r>
        <w:t>Так, з</w:t>
      </w:r>
      <w:r w:rsidR="00AB4082" w:rsidRPr="00FD6C7E">
        <w:t xml:space="preserve">а 2017 год в бюджет </w:t>
      </w:r>
      <w:r w:rsidR="00AB4082" w:rsidRPr="00FD6C7E">
        <w:lastRenderedPageBreak/>
        <w:t xml:space="preserve">поступило 26 340,5 млн. руб. налоговых доходов. По сравнению с 2016 годом поступления увеличились на 9,4 %. В 2016 году поступления составили 23 852,2 млн. руб. и по сравнению с 2015 годом увеличились на 6,6%. </w:t>
      </w:r>
    </w:p>
    <w:p w:rsidR="00AB4082" w:rsidRPr="00FD6C7E" w:rsidRDefault="00AB4082" w:rsidP="002A68FE">
      <w:pPr>
        <w:widowControl w:val="0"/>
        <w:ind w:firstLine="567"/>
        <w:jc w:val="both"/>
      </w:pPr>
      <w:r w:rsidRPr="00FD6C7E">
        <w:t>В разрезе основных доходных источников поступления за 2017 год составили:</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sz w:val="24"/>
          <w:szCs w:val="24"/>
        </w:rPr>
      </w:pPr>
      <w:r w:rsidRPr="00FD6C7E">
        <w:rPr>
          <w:rFonts w:ascii="Times New Roman" w:hAnsi="Times New Roman" w:cs="Times New Roman"/>
          <w:sz w:val="24"/>
          <w:szCs w:val="24"/>
        </w:rPr>
        <w:t>По налогам на собственность 1 615,4 млн.</w:t>
      </w:r>
      <w:r w:rsidR="002A68FE">
        <w:rPr>
          <w:rFonts w:ascii="Times New Roman" w:hAnsi="Times New Roman" w:cs="Times New Roman"/>
          <w:sz w:val="24"/>
          <w:szCs w:val="24"/>
        </w:rPr>
        <w:t xml:space="preserve"> </w:t>
      </w:r>
      <w:r w:rsidRPr="00FD6C7E">
        <w:rPr>
          <w:rFonts w:ascii="Times New Roman" w:hAnsi="Times New Roman" w:cs="Times New Roman"/>
          <w:sz w:val="24"/>
          <w:szCs w:val="24"/>
        </w:rPr>
        <w:t>руб., что больше на 1,4 % чем в 2016 году. В 2016 году этот показатель составил 1592,3 млн. руб. и по сравнению с 2015 годом он увеличился на 22,5 %.</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b/>
          <w:sz w:val="24"/>
          <w:szCs w:val="24"/>
        </w:rPr>
      </w:pPr>
      <w:r w:rsidRPr="00FD6C7E">
        <w:rPr>
          <w:rFonts w:ascii="Times New Roman" w:hAnsi="Times New Roman" w:cs="Times New Roman"/>
          <w:sz w:val="24"/>
          <w:szCs w:val="24"/>
        </w:rPr>
        <w:t xml:space="preserve">НДС вносит значительный вклад </w:t>
      </w:r>
      <w:r w:rsidR="002A68FE">
        <w:rPr>
          <w:rFonts w:ascii="Times New Roman" w:hAnsi="Times New Roman" w:cs="Times New Roman"/>
          <w:sz w:val="24"/>
          <w:szCs w:val="24"/>
        </w:rPr>
        <w:t xml:space="preserve">в </w:t>
      </w:r>
      <w:r w:rsidRPr="00FD6C7E">
        <w:rPr>
          <w:rFonts w:ascii="Times New Roman" w:hAnsi="Times New Roman" w:cs="Times New Roman"/>
          <w:sz w:val="24"/>
          <w:szCs w:val="24"/>
        </w:rPr>
        <w:t xml:space="preserve">формирование налоговых доходов. Отрицательной динамикой выдался 2017 год по сравнению с 2016 </w:t>
      </w:r>
      <w:r w:rsidR="002A68FE">
        <w:rPr>
          <w:rFonts w:ascii="Times New Roman" w:hAnsi="Times New Roman" w:cs="Times New Roman"/>
          <w:sz w:val="24"/>
          <w:szCs w:val="24"/>
        </w:rPr>
        <w:t>годом</w:t>
      </w:r>
      <w:r w:rsidRPr="00FD6C7E">
        <w:rPr>
          <w:rFonts w:ascii="Times New Roman" w:hAnsi="Times New Roman" w:cs="Times New Roman"/>
          <w:sz w:val="24"/>
          <w:szCs w:val="24"/>
        </w:rPr>
        <w:t xml:space="preserve">. </w:t>
      </w:r>
      <w:r w:rsidR="002A68FE">
        <w:rPr>
          <w:rFonts w:ascii="Times New Roman" w:hAnsi="Times New Roman" w:cs="Times New Roman"/>
          <w:sz w:val="24"/>
          <w:szCs w:val="24"/>
        </w:rPr>
        <w:t>Так, в</w:t>
      </w:r>
      <w:r w:rsidRPr="00FD6C7E">
        <w:rPr>
          <w:rFonts w:ascii="Times New Roman" w:hAnsi="Times New Roman" w:cs="Times New Roman"/>
          <w:sz w:val="24"/>
          <w:szCs w:val="24"/>
        </w:rPr>
        <w:t xml:space="preserve"> 2017 году НДС составил 8235 млн. руб., что меньше на 12,3 % по сравнению с </w:t>
      </w:r>
      <w:r w:rsidR="002A68FE">
        <w:rPr>
          <w:rFonts w:ascii="Times New Roman" w:hAnsi="Times New Roman" w:cs="Times New Roman"/>
          <w:sz w:val="24"/>
          <w:szCs w:val="24"/>
        </w:rPr>
        <w:t>уровнем 2016 года</w:t>
      </w:r>
      <w:r w:rsidRPr="00FD6C7E">
        <w:rPr>
          <w:rFonts w:ascii="Times New Roman" w:hAnsi="Times New Roman" w:cs="Times New Roman"/>
          <w:sz w:val="24"/>
          <w:szCs w:val="24"/>
        </w:rPr>
        <w:t xml:space="preserve">.  В 2016 </w:t>
      </w:r>
      <w:r w:rsidR="002A68FE">
        <w:rPr>
          <w:rFonts w:ascii="Times New Roman" w:hAnsi="Times New Roman" w:cs="Times New Roman"/>
          <w:sz w:val="24"/>
          <w:szCs w:val="24"/>
        </w:rPr>
        <w:t>году наблюдалась</w:t>
      </w:r>
      <w:r w:rsidRPr="00FD6C7E">
        <w:rPr>
          <w:rFonts w:ascii="Times New Roman" w:hAnsi="Times New Roman" w:cs="Times New Roman"/>
          <w:sz w:val="24"/>
          <w:szCs w:val="24"/>
        </w:rPr>
        <w:t xml:space="preserve"> положительная динамика этого показателя, что принесл</w:t>
      </w:r>
      <w:r w:rsidR="002A68FE">
        <w:rPr>
          <w:rFonts w:ascii="Times New Roman" w:hAnsi="Times New Roman" w:cs="Times New Roman"/>
          <w:sz w:val="24"/>
          <w:szCs w:val="24"/>
        </w:rPr>
        <w:t>о</w:t>
      </w:r>
      <w:r w:rsidRPr="00FD6C7E">
        <w:rPr>
          <w:rFonts w:ascii="Times New Roman" w:hAnsi="Times New Roman" w:cs="Times New Roman"/>
          <w:sz w:val="24"/>
          <w:szCs w:val="24"/>
        </w:rPr>
        <w:t xml:space="preserve"> значительный вклад в формирование налоговых доходов. 9247,7 млн. руб. составил НДС в 2016 году, что больше на 21,4 %, чем в 2015 году.</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b/>
          <w:sz w:val="24"/>
          <w:szCs w:val="24"/>
        </w:rPr>
      </w:pPr>
      <w:r w:rsidRPr="00FD6C7E">
        <w:rPr>
          <w:rFonts w:ascii="Times New Roman" w:hAnsi="Times New Roman" w:cs="Times New Roman"/>
          <w:sz w:val="24"/>
          <w:szCs w:val="24"/>
        </w:rPr>
        <w:t>По</w:t>
      </w:r>
      <w:r w:rsidR="002A68FE">
        <w:rPr>
          <w:rFonts w:ascii="Times New Roman" w:hAnsi="Times New Roman" w:cs="Times New Roman"/>
          <w:sz w:val="24"/>
          <w:szCs w:val="24"/>
        </w:rPr>
        <w:t>лучено в 2017 году суммы налога</w:t>
      </w:r>
      <w:r w:rsidRPr="00FD6C7E">
        <w:rPr>
          <w:rFonts w:ascii="Times New Roman" w:hAnsi="Times New Roman" w:cs="Times New Roman"/>
          <w:sz w:val="24"/>
          <w:szCs w:val="24"/>
        </w:rPr>
        <w:t xml:space="preserve"> на прибыль 2915,1 млн. руб., </w:t>
      </w:r>
      <w:r w:rsidR="002A68FE">
        <w:rPr>
          <w:rFonts w:ascii="Times New Roman" w:hAnsi="Times New Roman" w:cs="Times New Roman"/>
          <w:sz w:val="24"/>
          <w:szCs w:val="24"/>
        </w:rPr>
        <w:t>что больше на 20,2 %</w:t>
      </w:r>
      <w:r w:rsidRPr="00FD6C7E">
        <w:rPr>
          <w:rFonts w:ascii="Times New Roman" w:hAnsi="Times New Roman" w:cs="Times New Roman"/>
          <w:sz w:val="24"/>
          <w:szCs w:val="24"/>
        </w:rPr>
        <w:t xml:space="preserve"> чем в 2016 году. В 2016 году налог на прибыль составил 2325 </w:t>
      </w:r>
      <w:r w:rsidR="002A68FE">
        <w:rPr>
          <w:rFonts w:ascii="Times New Roman" w:hAnsi="Times New Roman" w:cs="Times New Roman"/>
          <w:sz w:val="24"/>
          <w:szCs w:val="24"/>
        </w:rPr>
        <w:t>млн. руб. и увеличился на 6,2 %</w:t>
      </w:r>
      <w:r w:rsidRPr="00FD6C7E">
        <w:rPr>
          <w:rFonts w:ascii="Times New Roman" w:hAnsi="Times New Roman" w:cs="Times New Roman"/>
          <w:sz w:val="24"/>
          <w:szCs w:val="24"/>
        </w:rPr>
        <w:t xml:space="preserve"> по сравнению с 2015 годом</w:t>
      </w:r>
      <w:r w:rsidR="002A68FE">
        <w:rPr>
          <w:rFonts w:ascii="Times New Roman" w:hAnsi="Times New Roman" w:cs="Times New Roman"/>
          <w:sz w:val="24"/>
          <w:szCs w:val="24"/>
        </w:rPr>
        <w:t>.</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b/>
          <w:sz w:val="24"/>
          <w:szCs w:val="24"/>
        </w:rPr>
      </w:pPr>
      <w:r w:rsidRPr="00FD6C7E">
        <w:rPr>
          <w:rFonts w:ascii="Times New Roman" w:hAnsi="Times New Roman" w:cs="Times New Roman"/>
          <w:sz w:val="24"/>
          <w:szCs w:val="24"/>
        </w:rPr>
        <w:t xml:space="preserve">По подоходному налогу </w:t>
      </w:r>
      <w:r w:rsidR="002A68FE">
        <w:rPr>
          <w:rFonts w:ascii="Times New Roman" w:hAnsi="Times New Roman" w:cs="Times New Roman"/>
          <w:sz w:val="24"/>
          <w:szCs w:val="24"/>
        </w:rPr>
        <w:t xml:space="preserve">объемы поступлений в бюджет в 2017 году составили </w:t>
      </w:r>
      <w:r w:rsidRPr="00FD6C7E">
        <w:rPr>
          <w:rFonts w:ascii="Times New Roman" w:hAnsi="Times New Roman" w:cs="Times New Roman"/>
          <w:sz w:val="24"/>
          <w:szCs w:val="24"/>
        </w:rPr>
        <w:t>4338,6 млн. руб. Изменения составили 9,2 % по сравнению с 2016 годом. В 2016 году подоходный н</w:t>
      </w:r>
      <w:r w:rsidR="002A68FE">
        <w:rPr>
          <w:rFonts w:ascii="Times New Roman" w:hAnsi="Times New Roman" w:cs="Times New Roman"/>
          <w:sz w:val="24"/>
          <w:szCs w:val="24"/>
        </w:rPr>
        <w:t>алог увеличился на 6,01 % по сравнению с</w:t>
      </w:r>
      <w:r w:rsidRPr="00FD6C7E">
        <w:rPr>
          <w:rFonts w:ascii="Times New Roman" w:hAnsi="Times New Roman" w:cs="Times New Roman"/>
          <w:sz w:val="24"/>
          <w:szCs w:val="24"/>
        </w:rPr>
        <w:t xml:space="preserve"> 2015 год</w:t>
      </w:r>
      <w:r w:rsidR="002A68FE">
        <w:rPr>
          <w:rFonts w:ascii="Times New Roman" w:hAnsi="Times New Roman" w:cs="Times New Roman"/>
          <w:sz w:val="24"/>
          <w:szCs w:val="24"/>
        </w:rPr>
        <w:t>ом</w:t>
      </w:r>
      <w:r w:rsidRPr="00FD6C7E">
        <w:rPr>
          <w:rFonts w:ascii="Times New Roman" w:hAnsi="Times New Roman" w:cs="Times New Roman"/>
          <w:sz w:val="24"/>
          <w:szCs w:val="24"/>
        </w:rPr>
        <w:t>.</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b/>
          <w:sz w:val="24"/>
          <w:szCs w:val="24"/>
        </w:rPr>
      </w:pPr>
      <w:r w:rsidRPr="00FD6C7E">
        <w:rPr>
          <w:rFonts w:ascii="Times New Roman" w:hAnsi="Times New Roman" w:cs="Times New Roman"/>
          <w:sz w:val="24"/>
          <w:szCs w:val="24"/>
        </w:rPr>
        <w:t>По</w:t>
      </w:r>
      <w:r w:rsidR="002A68FE">
        <w:rPr>
          <w:rFonts w:ascii="Times New Roman" w:hAnsi="Times New Roman" w:cs="Times New Roman"/>
          <w:sz w:val="24"/>
          <w:szCs w:val="24"/>
        </w:rPr>
        <w:t>ступления</w:t>
      </w:r>
      <w:r w:rsidRPr="00FD6C7E">
        <w:rPr>
          <w:rFonts w:ascii="Times New Roman" w:hAnsi="Times New Roman" w:cs="Times New Roman"/>
          <w:sz w:val="24"/>
          <w:szCs w:val="24"/>
        </w:rPr>
        <w:t xml:space="preserve"> акциз</w:t>
      </w:r>
      <w:r w:rsidR="002A68FE">
        <w:rPr>
          <w:rFonts w:ascii="Times New Roman" w:hAnsi="Times New Roman" w:cs="Times New Roman"/>
          <w:sz w:val="24"/>
          <w:szCs w:val="24"/>
        </w:rPr>
        <w:t>ов в 2017 году составили</w:t>
      </w:r>
      <w:r w:rsidRPr="00FD6C7E">
        <w:rPr>
          <w:rFonts w:ascii="Times New Roman" w:hAnsi="Times New Roman" w:cs="Times New Roman"/>
          <w:sz w:val="24"/>
          <w:szCs w:val="24"/>
        </w:rPr>
        <w:t xml:space="preserve"> 2342,5 млн. руб.</w:t>
      </w:r>
      <w:r w:rsidR="00B46363">
        <w:rPr>
          <w:rFonts w:ascii="Times New Roman" w:hAnsi="Times New Roman" w:cs="Times New Roman"/>
          <w:sz w:val="24"/>
          <w:szCs w:val="24"/>
        </w:rPr>
        <w:t>, что больше уровня 2016 года на</w:t>
      </w:r>
      <w:r w:rsidRPr="00FD6C7E">
        <w:rPr>
          <w:rFonts w:ascii="Times New Roman" w:hAnsi="Times New Roman" w:cs="Times New Roman"/>
          <w:sz w:val="24"/>
          <w:szCs w:val="24"/>
        </w:rPr>
        <w:t xml:space="preserve"> 6,7 %. </w:t>
      </w:r>
    </w:p>
    <w:p w:rsidR="00AB4082" w:rsidRPr="00FD6C7E" w:rsidRDefault="00AB4082" w:rsidP="002A68FE">
      <w:pPr>
        <w:pStyle w:val="a3"/>
        <w:widowControl w:val="0"/>
        <w:numPr>
          <w:ilvl w:val="0"/>
          <w:numId w:val="3"/>
        </w:numPr>
        <w:spacing w:after="0" w:line="240" w:lineRule="auto"/>
        <w:ind w:left="0" w:firstLine="567"/>
        <w:jc w:val="both"/>
        <w:rPr>
          <w:rFonts w:ascii="Times New Roman" w:hAnsi="Times New Roman" w:cs="Times New Roman"/>
          <w:b/>
          <w:sz w:val="24"/>
          <w:szCs w:val="24"/>
        </w:rPr>
      </w:pPr>
      <w:r w:rsidRPr="00FD6C7E">
        <w:rPr>
          <w:rFonts w:ascii="Times New Roman" w:hAnsi="Times New Roman" w:cs="Times New Roman"/>
          <w:sz w:val="24"/>
          <w:szCs w:val="24"/>
        </w:rPr>
        <w:t xml:space="preserve">По налоговым доходам от внешнеэкономической деятельности </w:t>
      </w:r>
      <w:r w:rsidR="00B46363">
        <w:rPr>
          <w:rFonts w:ascii="Times New Roman" w:hAnsi="Times New Roman" w:cs="Times New Roman"/>
          <w:sz w:val="24"/>
          <w:szCs w:val="24"/>
        </w:rPr>
        <w:t xml:space="preserve">получено в бюджет </w:t>
      </w:r>
      <w:r w:rsidRPr="00FD6C7E">
        <w:rPr>
          <w:rFonts w:ascii="Times New Roman" w:hAnsi="Times New Roman" w:cs="Times New Roman"/>
          <w:sz w:val="24"/>
          <w:szCs w:val="24"/>
        </w:rPr>
        <w:t xml:space="preserve">3546,6 млн. руб., что больше на 3,2 %, чем в 2016 году. В 2016 году налоговые доходы от </w:t>
      </w:r>
      <w:r w:rsidR="00B46363">
        <w:rPr>
          <w:rFonts w:ascii="Times New Roman" w:hAnsi="Times New Roman" w:cs="Times New Roman"/>
          <w:sz w:val="24"/>
          <w:szCs w:val="24"/>
        </w:rPr>
        <w:t>данной</w:t>
      </w:r>
      <w:r w:rsidRPr="00FD6C7E">
        <w:rPr>
          <w:rFonts w:ascii="Times New Roman" w:hAnsi="Times New Roman" w:cs="Times New Roman"/>
          <w:sz w:val="24"/>
          <w:szCs w:val="24"/>
        </w:rPr>
        <w:t xml:space="preserve"> деятельности – 3918,6 млн. руб. принесли отрицательную динамику. Уменьшение составило 14,2 %</w:t>
      </w:r>
      <w:r w:rsidR="00B46363">
        <w:rPr>
          <w:rFonts w:ascii="Times New Roman" w:hAnsi="Times New Roman" w:cs="Times New Roman"/>
          <w:sz w:val="24"/>
          <w:szCs w:val="24"/>
        </w:rPr>
        <w:t xml:space="preserve"> по сравнению с</w:t>
      </w:r>
      <w:r w:rsidRPr="00FD6C7E">
        <w:rPr>
          <w:rFonts w:ascii="Times New Roman" w:hAnsi="Times New Roman" w:cs="Times New Roman"/>
          <w:sz w:val="24"/>
          <w:szCs w:val="24"/>
        </w:rPr>
        <w:t xml:space="preserve"> 2015 год</w:t>
      </w:r>
      <w:r w:rsidR="00B46363">
        <w:rPr>
          <w:rFonts w:ascii="Times New Roman" w:hAnsi="Times New Roman" w:cs="Times New Roman"/>
          <w:sz w:val="24"/>
          <w:szCs w:val="24"/>
        </w:rPr>
        <w:t>ом</w:t>
      </w:r>
      <w:r w:rsidRPr="00FD6C7E">
        <w:rPr>
          <w:rFonts w:ascii="Times New Roman" w:hAnsi="Times New Roman" w:cs="Times New Roman"/>
          <w:sz w:val="24"/>
          <w:szCs w:val="24"/>
        </w:rPr>
        <w:t xml:space="preserve">. </w:t>
      </w:r>
    </w:p>
    <w:p w:rsidR="006C109E" w:rsidRPr="00FD6C7E" w:rsidRDefault="006C109E" w:rsidP="002A68FE">
      <w:pPr>
        <w:widowControl w:val="0"/>
        <w:ind w:firstLine="567"/>
        <w:jc w:val="both"/>
        <w:rPr>
          <w:shd w:val="clear" w:color="auto" w:fill="FFFFFF"/>
        </w:rPr>
      </w:pPr>
      <w:r w:rsidRPr="00FD6C7E">
        <w:rPr>
          <w:shd w:val="clear" w:color="auto" w:fill="FFFFFF"/>
        </w:rPr>
        <w:t>Результативность проводимой налоговой политики можно оценить по нескольким критериям: количеству налоговых сборов и платежей; величине налоговой нагрузки;</w:t>
      </w:r>
      <w:r w:rsidR="00B46363">
        <w:rPr>
          <w:shd w:val="clear" w:color="auto" w:fill="FFFFFF"/>
        </w:rPr>
        <w:t xml:space="preserve"> </w:t>
      </w:r>
      <w:r w:rsidRPr="00FD6C7E">
        <w:rPr>
          <w:shd w:val="clear" w:color="auto" w:fill="FFFFFF"/>
        </w:rPr>
        <w:t xml:space="preserve">эффективность выполнения налоговых ревизий. </w:t>
      </w:r>
    </w:p>
    <w:p w:rsidR="00E37F92" w:rsidRPr="00FD6C7E" w:rsidRDefault="00E37F92" w:rsidP="002A68FE">
      <w:pPr>
        <w:widowControl w:val="0"/>
        <w:ind w:firstLine="567"/>
        <w:jc w:val="both"/>
      </w:pPr>
      <w:r w:rsidRPr="00FD6C7E">
        <w:t>Оценка показателя «Налогообложение» в рейтинге Всемирного банка «</w:t>
      </w:r>
      <w:r w:rsidR="00C2532C">
        <w:t>В</w:t>
      </w:r>
      <w:r w:rsidRPr="00FD6C7E">
        <w:t>едени</w:t>
      </w:r>
      <w:r w:rsidR="00C2532C">
        <w:t>е</w:t>
      </w:r>
      <w:r w:rsidRPr="00FD6C7E">
        <w:t xml:space="preserve"> бизнеса» дает представление об удобстве национальных систем налогообложения, в том числе об усредненной налоговой нагрузке в каждой рассматриваемой стране, количестве налогов и суммарных затратах времени, необхо</w:t>
      </w:r>
      <w:r w:rsidR="00AB4082" w:rsidRPr="00FD6C7E">
        <w:t>димого на их уплату (таблица 2</w:t>
      </w:r>
      <w:r w:rsidRPr="00FD6C7E">
        <w:t>).</w:t>
      </w:r>
    </w:p>
    <w:p w:rsidR="00A9523F" w:rsidRDefault="00A9523F" w:rsidP="00A9523F">
      <w:pPr>
        <w:widowControl w:val="0"/>
        <w:ind w:firstLine="567"/>
        <w:jc w:val="center"/>
      </w:pPr>
    </w:p>
    <w:p w:rsidR="00E37F92" w:rsidRPr="00A9523F" w:rsidRDefault="00AB4082" w:rsidP="00A9523F">
      <w:pPr>
        <w:widowControl w:val="0"/>
        <w:ind w:firstLine="567"/>
        <w:jc w:val="center"/>
      </w:pPr>
      <w:r w:rsidRPr="00A9523F">
        <w:t>Таблица 2</w:t>
      </w:r>
      <w:r w:rsidR="00E37F92" w:rsidRPr="00A9523F">
        <w:t xml:space="preserve">  – Анализ налогообложения в Республике Беларусь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7"/>
        <w:gridCol w:w="1418"/>
        <w:gridCol w:w="1559"/>
        <w:gridCol w:w="1575"/>
      </w:tblGrid>
      <w:tr w:rsidR="00E37F92" w:rsidRPr="00A9523F" w:rsidTr="00A9523F">
        <w:trPr>
          <w:jc w:val="center"/>
        </w:trPr>
        <w:tc>
          <w:tcPr>
            <w:tcW w:w="3987" w:type="dxa"/>
            <w:shd w:val="clear" w:color="auto" w:fill="auto"/>
            <w:vAlign w:val="center"/>
          </w:tcPr>
          <w:p w:rsidR="00E37F92" w:rsidRDefault="00E37F92" w:rsidP="00A9523F">
            <w:pPr>
              <w:widowControl w:val="0"/>
              <w:jc w:val="center"/>
              <w:rPr>
                <w:rFonts w:ascii="Arial" w:hAnsi="Arial" w:cs="Arial"/>
                <w:color w:val="000000"/>
                <w:kern w:val="24"/>
                <w:sz w:val="18"/>
                <w:szCs w:val="18"/>
              </w:rPr>
            </w:pPr>
            <w:r w:rsidRPr="00A9523F">
              <w:rPr>
                <w:rFonts w:ascii="Arial" w:hAnsi="Arial" w:cs="Arial"/>
                <w:color w:val="000000"/>
                <w:kern w:val="24"/>
                <w:sz w:val="18"/>
                <w:szCs w:val="18"/>
              </w:rPr>
              <w:t>Показатель</w:t>
            </w:r>
          </w:p>
          <w:p w:rsidR="00A9523F" w:rsidRPr="00A9523F" w:rsidRDefault="00A9523F" w:rsidP="00A9523F">
            <w:pPr>
              <w:widowControl w:val="0"/>
              <w:jc w:val="center"/>
              <w:rPr>
                <w:rFonts w:ascii="Arial" w:hAnsi="Arial" w:cs="Arial"/>
                <w:color w:val="000000"/>
                <w:kern w:val="24"/>
                <w:sz w:val="18"/>
                <w:szCs w:val="18"/>
              </w:rPr>
            </w:pPr>
          </w:p>
        </w:tc>
        <w:tc>
          <w:tcPr>
            <w:tcW w:w="1418" w:type="dxa"/>
            <w:shd w:val="clear" w:color="auto" w:fill="auto"/>
            <w:vAlign w:val="center"/>
          </w:tcPr>
          <w:p w:rsidR="00E37F92" w:rsidRPr="00A9523F" w:rsidRDefault="00E37F92" w:rsidP="00A9523F">
            <w:pPr>
              <w:widowControl w:val="0"/>
              <w:jc w:val="center"/>
              <w:rPr>
                <w:rFonts w:ascii="Arial" w:hAnsi="Arial" w:cs="Arial"/>
                <w:color w:val="000000"/>
                <w:kern w:val="24"/>
                <w:sz w:val="18"/>
                <w:szCs w:val="18"/>
              </w:rPr>
            </w:pPr>
            <w:r w:rsidRPr="00A9523F">
              <w:rPr>
                <w:rFonts w:ascii="Arial" w:hAnsi="Arial" w:cs="Arial"/>
                <w:color w:val="000000"/>
                <w:kern w:val="24"/>
                <w:sz w:val="18"/>
                <w:szCs w:val="18"/>
              </w:rPr>
              <w:t>2015 год</w:t>
            </w:r>
          </w:p>
        </w:tc>
        <w:tc>
          <w:tcPr>
            <w:tcW w:w="1559" w:type="dxa"/>
            <w:shd w:val="clear" w:color="auto" w:fill="auto"/>
            <w:vAlign w:val="center"/>
          </w:tcPr>
          <w:p w:rsidR="00E37F92" w:rsidRPr="00A9523F" w:rsidRDefault="00E37F92" w:rsidP="00A9523F">
            <w:pPr>
              <w:widowControl w:val="0"/>
              <w:jc w:val="center"/>
              <w:rPr>
                <w:rFonts w:ascii="Arial" w:hAnsi="Arial" w:cs="Arial"/>
                <w:color w:val="000000"/>
                <w:kern w:val="24"/>
                <w:sz w:val="18"/>
                <w:szCs w:val="18"/>
              </w:rPr>
            </w:pPr>
            <w:r w:rsidRPr="00A9523F">
              <w:rPr>
                <w:rFonts w:ascii="Arial" w:hAnsi="Arial" w:cs="Arial"/>
                <w:color w:val="000000"/>
                <w:kern w:val="24"/>
                <w:sz w:val="18"/>
                <w:szCs w:val="18"/>
              </w:rPr>
              <w:t>2016 год</w:t>
            </w:r>
          </w:p>
        </w:tc>
        <w:tc>
          <w:tcPr>
            <w:tcW w:w="1575" w:type="dxa"/>
            <w:shd w:val="clear" w:color="auto" w:fill="auto"/>
            <w:vAlign w:val="center"/>
          </w:tcPr>
          <w:p w:rsidR="00E37F92" w:rsidRPr="00A9523F" w:rsidRDefault="00E37F92" w:rsidP="00A9523F">
            <w:pPr>
              <w:widowControl w:val="0"/>
              <w:jc w:val="center"/>
              <w:rPr>
                <w:rFonts w:ascii="Arial" w:hAnsi="Arial" w:cs="Arial"/>
                <w:color w:val="000000"/>
                <w:kern w:val="24"/>
                <w:sz w:val="18"/>
                <w:szCs w:val="18"/>
              </w:rPr>
            </w:pPr>
            <w:r w:rsidRPr="00A9523F">
              <w:rPr>
                <w:rFonts w:ascii="Arial" w:hAnsi="Arial" w:cs="Arial"/>
                <w:color w:val="000000"/>
                <w:kern w:val="24"/>
                <w:sz w:val="18"/>
                <w:szCs w:val="18"/>
              </w:rPr>
              <w:t>2017 год</w:t>
            </w:r>
          </w:p>
        </w:tc>
      </w:tr>
      <w:tr w:rsidR="00E37F92" w:rsidRPr="00A9523F" w:rsidTr="00A9523F">
        <w:trPr>
          <w:trHeight w:val="147"/>
          <w:jc w:val="center"/>
        </w:trPr>
        <w:tc>
          <w:tcPr>
            <w:tcW w:w="3987" w:type="dxa"/>
            <w:shd w:val="clear" w:color="auto" w:fill="auto"/>
          </w:tcPr>
          <w:p w:rsidR="00E37F92" w:rsidRPr="00A9523F" w:rsidRDefault="00E37F92" w:rsidP="00A9523F">
            <w:pPr>
              <w:widowControl w:val="0"/>
              <w:jc w:val="both"/>
              <w:rPr>
                <w:rFonts w:ascii="Arial" w:hAnsi="Arial" w:cs="Arial"/>
                <w:sz w:val="18"/>
                <w:szCs w:val="18"/>
              </w:rPr>
            </w:pPr>
            <w:r w:rsidRPr="00A9523F">
              <w:rPr>
                <w:rFonts w:ascii="Arial" w:hAnsi="Arial" w:cs="Arial"/>
                <w:color w:val="000000"/>
                <w:kern w:val="24"/>
                <w:sz w:val="18"/>
                <w:szCs w:val="18"/>
              </w:rPr>
              <w:t>Количество налогов</w:t>
            </w:r>
          </w:p>
        </w:tc>
        <w:tc>
          <w:tcPr>
            <w:tcW w:w="1418"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color w:val="000000"/>
                <w:kern w:val="24"/>
                <w:sz w:val="18"/>
                <w:szCs w:val="18"/>
              </w:rPr>
              <w:t>7</w:t>
            </w:r>
          </w:p>
        </w:tc>
        <w:tc>
          <w:tcPr>
            <w:tcW w:w="1559"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color w:val="000000"/>
                <w:kern w:val="24"/>
                <w:sz w:val="18"/>
                <w:szCs w:val="18"/>
              </w:rPr>
              <w:t>7</w:t>
            </w:r>
          </w:p>
        </w:tc>
        <w:tc>
          <w:tcPr>
            <w:tcW w:w="1575"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color w:val="000000"/>
                <w:kern w:val="24"/>
                <w:sz w:val="18"/>
                <w:szCs w:val="18"/>
              </w:rPr>
              <w:t>7</w:t>
            </w:r>
          </w:p>
        </w:tc>
      </w:tr>
      <w:tr w:rsidR="00E37F92" w:rsidRPr="00A9523F" w:rsidTr="00A9523F">
        <w:trPr>
          <w:jc w:val="center"/>
        </w:trPr>
        <w:tc>
          <w:tcPr>
            <w:tcW w:w="3987" w:type="dxa"/>
            <w:shd w:val="clear" w:color="auto" w:fill="auto"/>
          </w:tcPr>
          <w:p w:rsidR="00E37F92" w:rsidRPr="00A9523F" w:rsidRDefault="00E37F92" w:rsidP="00A9523F">
            <w:pPr>
              <w:widowControl w:val="0"/>
              <w:jc w:val="both"/>
              <w:rPr>
                <w:rFonts w:ascii="Arial" w:hAnsi="Arial" w:cs="Arial"/>
                <w:sz w:val="18"/>
                <w:szCs w:val="18"/>
              </w:rPr>
            </w:pPr>
            <w:r w:rsidRPr="00A9523F">
              <w:rPr>
                <w:rFonts w:ascii="Arial" w:hAnsi="Arial" w:cs="Arial"/>
                <w:color w:val="000000"/>
                <w:kern w:val="24"/>
                <w:sz w:val="18"/>
                <w:szCs w:val="18"/>
              </w:rPr>
              <w:t>Количество времени для уплаты налогов (часы в год)</w:t>
            </w:r>
          </w:p>
        </w:tc>
        <w:tc>
          <w:tcPr>
            <w:tcW w:w="1418"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color w:val="000000"/>
                <w:kern w:val="24"/>
                <w:sz w:val="18"/>
                <w:szCs w:val="18"/>
              </w:rPr>
              <w:t>183</w:t>
            </w:r>
          </w:p>
        </w:tc>
        <w:tc>
          <w:tcPr>
            <w:tcW w:w="1559"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color w:val="000000"/>
                <w:kern w:val="24"/>
                <w:sz w:val="18"/>
                <w:szCs w:val="18"/>
              </w:rPr>
              <w:t>176</w:t>
            </w:r>
          </w:p>
        </w:tc>
        <w:tc>
          <w:tcPr>
            <w:tcW w:w="1575" w:type="dxa"/>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176</w:t>
            </w:r>
          </w:p>
        </w:tc>
      </w:tr>
      <w:tr w:rsidR="00E37F92" w:rsidRPr="00A9523F" w:rsidTr="00A9523F">
        <w:trPr>
          <w:jc w:val="center"/>
        </w:trPr>
        <w:tc>
          <w:tcPr>
            <w:tcW w:w="3987" w:type="dxa"/>
            <w:tcBorders>
              <w:bottom w:val="single" w:sz="4" w:space="0" w:color="auto"/>
            </w:tcBorders>
            <w:shd w:val="clear" w:color="auto" w:fill="auto"/>
          </w:tcPr>
          <w:p w:rsidR="00E37F92" w:rsidRPr="00A9523F" w:rsidRDefault="00E37F92" w:rsidP="00A9523F">
            <w:pPr>
              <w:widowControl w:val="0"/>
              <w:jc w:val="both"/>
              <w:rPr>
                <w:rFonts w:ascii="Arial" w:hAnsi="Arial" w:cs="Arial"/>
                <w:sz w:val="18"/>
                <w:szCs w:val="18"/>
              </w:rPr>
            </w:pPr>
            <w:r w:rsidRPr="00A9523F">
              <w:rPr>
                <w:rFonts w:ascii="Arial" w:hAnsi="Arial" w:cs="Arial"/>
                <w:color w:val="000000"/>
                <w:kern w:val="24"/>
                <w:sz w:val="18"/>
                <w:szCs w:val="18"/>
              </w:rPr>
              <w:t>Налоговая нагрузка, % (без учета отчисления в ФСЗН)</w:t>
            </w:r>
          </w:p>
        </w:tc>
        <w:tc>
          <w:tcPr>
            <w:tcW w:w="1418"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24,8</w:t>
            </w:r>
          </w:p>
        </w:tc>
        <w:tc>
          <w:tcPr>
            <w:tcW w:w="1559"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25,3</w:t>
            </w:r>
          </w:p>
        </w:tc>
        <w:tc>
          <w:tcPr>
            <w:tcW w:w="1575"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25</w:t>
            </w:r>
          </w:p>
        </w:tc>
      </w:tr>
      <w:tr w:rsidR="00E37F92" w:rsidRPr="00A9523F" w:rsidTr="00A9523F">
        <w:trPr>
          <w:jc w:val="center"/>
        </w:trPr>
        <w:tc>
          <w:tcPr>
            <w:tcW w:w="3987" w:type="dxa"/>
            <w:tcBorders>
              <w:bottom w:val="single" w:sz="4" w:space="0" w:color="auto"/>
            </w:tcBorders>
            <w:shd w:val="clear" w:color="auto" w:fill="auto"/>
          </w:tcPr>
          <w:p w:rsidR="00E37F92" w:rsidRPr="00A9523F" w:rsidRDefault="00E37F92" w:rsidP="00A9523F">
            <w:pPr>
              <w:widowControl w:val="0"/>
              <w:jc w:val="both"/>
              <w:rPr>
                <w:rFonts w:ascii="Arial" w:hAnsi="Arial" w:cs="Arial"/>
                <w:sz w:val="18"/>
                <w:szCs w:val="18"/>
              </w:rPr>
            </w:pPr>
            <w:r w:rsidRPr="00A9523F">
              <w:rPr>
                <w:rFonts w:ascii="Arial" w:hAnsi="Arial" w:cs="Arial"/>
                <w:color w:val="000000"/>
                <w:kern w:val="24"/>
                <w:sz w:val="18"/>
                <w:szCs w:val="18"/>
              </w:rPr>
              <w:t>Место в рейтинге</w:t>
            </w:r>
          </w:p>
        </w:tc>
        <w:tc>
          <w:tcPr>
            <w:tcW w:w="1418"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60</w:t>
            </w:r>
          </w:p>
        </w:tc>
        <w:tc>
          <w:tcPr>
            <w:tcW w:w="1559"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63</w:t>
            </w:r>
          </w:p>
        </w:tc>
        <w:tc>
          <w:tcPr>
            <w:tcW w:w="1575" w:type="dxa"/>
            <w:tcBorders>
              <w:bottom w:val="single" w:sz="4" w:space="0" w:color="auto"/>
            </w:tcBorders>
            <w:shd w:val="clear" w:color="auto" w:fill="auto"/>
          </w:tcPr>
          <w:p w:rsidR="00E37F92" w:rsidRPr="00A9523F" w:rsidRDefault="00E37F92" w:rsidP="00A9523F">
            <w:pPr>
              <w:widowControl w:val="0"/>
              <w:jc w:val="center"/>
              <w:rPr>
                <w:rFonts w:ascii="Arial" w:hAnsi="Arial" w:cs="Arial"/>
                <w:sz w:val="18"/>
                <w:szCs w:val="18"/>
              </w:rPr>
            </w:pPr>
            <w:r w:rsidRPr="00A9523F">
              <w:rPr>
                <w:rFonts w:ascii="Arial" w:hAnsi="Arial" w:cs="Arial"/>
                <w:sz w:val="18"/>
                <w:szCs w:val="18"/>
              </w:rPr>
              <w:t>99</w:t>
            </w:r>
          </w:p>
        </w:tc>
      </w:tr>
    </w:tbl>
    <w:p w:rsidR="00E37F92" w:rsidRPr="00A9523F" w:rsidRDefault="00E37F92" w:rsidP="00A9523F">
      <w:pPr>
        <w:widowControl w:val="0"/>
        <w:jc w:val="both"/>
      </w:pPr>
      <w:r w:rsidRPr="00A9523F">
        <w:t>Источник: собственная разработк</w:t>
      </w:r>
      <w:r w:rsidR="00584C6A" w:rsidRPr="00A9523F">
        <w:t>а автора на основании данных [2</w:t>
      </w:r>
      <w:r w:rsidRPr="00A9523F">
        <w:t>]</w:t>
      </w:r>
    </w:p>
    <w:p w:rsidR="00A9523F" w:rsidRDefault="00A9523F" w:rsidP="002A68FE">
      <w:pPr>
        <w:widowControl w:val="0"/>
        <w:ind w:firstLine="567"/>
        <w:jc w:val="both"/>
      </w:pPr>
    </w:p>
    <w:p w:rsidR="00E37F92" w:rsidRPr="00FD6C7E" w:rsidRDefault="00A9523F" w:rsidP="002A68FE">
      <w:pPr>
        <w:widowControl w:val="0"/>
        <w:ind w:firstLine="567"/>
        <w:jc w:val="both"/>
      </w:pPr>
      <w:r>
        <w:t>Анализируя данные таблицы 2, можно отметить, что в</w:t>
      </w:r>
      <w:r w:rsidR="00E37F92" w:rsidRPr="00FD6C7E">
        <w:t xml:space="preserve"> настоящее время в Республике Беларусь количество платежей минимально и равно семи: отчисления на социальное страхование; отчисления на обязательное страхование от несчастных случаев на производстве;</w:t>
      </w:r>
      <w:r>
        <w:t xml:space="preserve"> </w:t>
      </w:r>
      <w:r w:rsidR="00E37F92" w:rsidRPr="00FD6C7E">
        <w:t>налог на добавленную стоимость;</w:t>
      </w:r>
      <w:r>
        <w:t xml:space="preserve"> </w:t>
      </w:r>
      <w:r w:rsidR="00E37F92" w:rsidRPr="00FD6C7E">
        <w:t>налог на прибыль; налог на недвижимость;</w:t>
      </w:r>
      <w:r>
        <w:t xml:space="preserve"> </w:t>
      </w:r>
      <w:r w:rsidR="00E37F92" w:rsidRPr="00FD6C7E">
        <w:t>экологический налог;</w:t>
      </w:r>
      <w:r>
        <w:t xml:space="preserve"> </w:t>
      </w:r>
      <w:r w:rsidR="00E37F92" w:rsidRPr="00FD6C7E">
        <w:t xml:space="preserve">налог на землю. Поэтому </w:t>
      </w:r>
      <w:r>
        <w:t>показатель числа налогов</w:t>
      </w:r>
      <w:r w:rsidR="00E37F92" w:rsidRPr="00FD6C7E">
        <w:t xml:space="preserve"> в </w:t>
      </w:r>
      <w:r>
        <w:t>рассматриваемый период</w:t>
      </w:r>
      <w:r w:rsidR="00E37F92" w:rsidRPr="00FD6C7E">
        <w:t xml:space="preserve"> не изменился.</w:t>
      </w:r>
    </w:p>
    <w:p w:rsidR="00E37F92" w:rsidRPr="00FD6C7E" w:rsidRDefault="00E37F92" w:rsidP="002A68FE">
      <w:pPr>
        <w:widowControl w:val="0"/>
        <w:ind w:firstLine="567"/>
        <w:jc w:val="both"/>
      </w:pPr>
      <w:r w:rsidRPr="00FD6C7E">
        <w:t xml:space="preserve">Показатель, отражающий время (количество часов в год), затраченное на подготовку, подачу отчетности и уплату трех основных видов налогов и отчислений (ФСЗН, НДС, налог на прибыль), имеет устойчивую тенденцию к снижению. В 2015 году этот показатель составлял 183 часа в год, а в 2016 и 2017 годах </w:t>
      </w:r>
      <w:r w:rsidR="00A9523F">
        <w:t>–</w:t>
      </w:r>
      <w:r w:rsidRPr="00FD6C7E">
        <w:t xml:space="preserve"> 176 часов в год. Снижение временных </w:t>
      </w:r>
      <w:r w:rsidRPr="00FD6C7E">
        <w:lastRenderedPageBreak/>
        <w:t xml:space="preserve">затрат по налогу на прибыль и НДС достигнуто за счет электронных сервисов, позволяющих плательщикам воспользоваться имеющимися обширными возможностями для оперативного взаимодействия с налоговыми органами. </w:t>
      </w:r>
    </w:p>
    <w:p w:rsidR="00E37F92" w:rsidRPr="00FD6C7E" w:rsidRDefault="00E37F92" w:rsidP="002A68FE">
      <w:pPr>
        <w:widowControl w:val="0"/>
        <w:ind w:firstLine="567"/>
        <w:jc w:val="both"/>
      </w:pPr>
      <w:r w:rsidRPr="00FD6C7E">
        <w:t xml:space="preserve">Что касается индикатора налоговой нагрузки, </w:t>
      </w:r>
      <w:r w:rsidR="00A9523F">
        <w:t xml:space="preserve">то </w:t>
      </w:r>
      <w:r w:rsidRPr="00FD6C7E">
        <w:t>он создан для комплексной оценки всех затрат, которые несет предприятие в связи с оплатой всех налогов и обязательных взносов. Эта расчетная величина отличается от законодательно установленной налоговой ставки, которая представляет собой коэффициент, применяемый к налоговой базе. Налоговая нагрузка на экономику Республики Беларусь в 2016 году составила 25,3 % и по сравнению с 2015 годом увеличилась на 0,92 п</w:t>
      </w:r>
      <w:r w:rsidR="00A9523F">
        <w:t>.</w:t>
      </w:r>
      <w:r w:rsidRPr="00FD6C7E">
        <w:t>п</w:t>
      </w:r>
      <w:r w:rsidR="00A9523F">
        <w:t>.</w:t>
      </w:r>
      <w:r w:rsidRPr="00FD6C7E">
        <w:t xml:space="preserve"> В 2017 году ситуация изменилась</w:t>
      </w:r>
      <w:r w:rsidR="00A9523F">
        <w:t xml:space="preserve">: </w:t>
      </w:r>
      <w:r w:rsidRPr="00FD6C7E">
        <w:t>величина налоговой нагрузки на экономику Республики Беларусь составила 25 %  и по сравнению с 2016 годом снизилась на 0,3 п</w:t>
      </w:r>
      <w:r w:rsidR="00A9523F">
        <w:t>.</w:t>
      </w:r>
      <w:r w:rsidRPr="00FD6C7E">
        <w:t xml:space="preserve"> п</w:t>
      </w:r>
      <w:r w:rsidR="00A9523F">
        <w:t>.</w:t>
      </w:r>
      <w:r w:rsidRPr="00FD6C7E">
        <w:t xml:space="preserve"> Процент налоговой нагрузки складывается из налоговой нагрузки по отчислениям в ФСЗН и </w:t>
      </w:r>
      <w:proofErr w:type="spellStart"/>
      <w:r w:rsidRPr="00FD6C7E">
        <w:t>Белгосстрах</w:t>
      </w:r>
      <w:proofErr w:type="spellEnd"/>
      <w:r w:rsidRPr="00FD6C7E">
        <w:t>, налогу на прибыль  и другим налогам. Такой размер налоговой нагрузки объясним социальной ориентацией экономики страны, формирующей условия для удовлетворения потребностей населения, повышения его благосостояния и обеспечения системы социальных и пенсионных гарантий.</w:t>
      </w:r>
    </w:p>
    <w:p w:rsidR="00E37F92" w:rsidRPr="00FD6C7E" w:rsidRDefault="00E37F92" w:rsidP="002A68FE">
      <w:pPr>
        <w:pStyle w:val="a4"/>
        <w:widowControl w:val="0"/>
        <w:ind w:firstLine="567"/>
        <w:jc w:val="both"/>
        <w:rPr>
          <w:rFonts w:ascii="Times New Roman" w:hAnsi="Times New Roman" w:cs="Times New Roman"/>
          <w:sz w:val="24"/>
          <w:szCs w:val="24"/>
          <w:shd w:val="clear" w:color="auto" w:fill="FFFFFF"/>
        </w:rPr>
      </w:pPr>
      <w:r w:rsidRPr="00FD6C7E">
        <w:rPr>
          <w:rFonts w:ascii="Times New Roman" w:hAnsi="Times New Roman" w:cs="Times New Roman"/>
          <w:sz w:val="24"/>
          <w:szCs w:val="24"/>
        </w:rPr>
        <w:t xml:space="preserve">В 2015 году Республика Беларусь по положению Республики Беларусь в отчете Всемирного банка «Ведение бизнеса – 2015» по показателю налогообложения заняла 60 место. В последующие годы, этот показатель уменьшился. В 2016 году составил 63 место, а в 2017 году – 99 место. В 2017 году Всемирным банком расширен список индикаторов, </w:t>
      </w:r>
      <w:r w:rsidRPr="00FD6C7E">
        <w:rPr>
          <w:rFonts w:ascii="Times New Roman" w:hAnsi="Times New Roman" w:cs="Times New Roman"/>
          <w:sz w:val="24"/>
          <w:szCs w:val="24"/>
          <w:shd w:val="clear" w:color="auto" w:fill="FFFFFF"/>
        </w:rPr>
        <w:t>используемых при оценке показателя  «Налогообложение». Так, в настоящее время оценка указанного показателя охватывает еще и процессы после подачи отчетности и уплаты налогов: «Возврат НДС», «Проверки по налогу на прибыль», «Административный процесс обжалования», каждый из которых, в свою очередь, состоит из ряда компонентов, которым присваиваются очки, учитываемые при формировании конечного рейтинга страны.</w:t>
      </w:r>
    </w:p>
    <w:p w:rsidR="00E37F92" w:rsidRPr="00FD6C7E" w:rsidRDefault="00E37F92" w:rsidP="002A68FE">
      <w:pPr>
        <w:pStyle w:val="a4"/>
        <w:widowControl w:val="0"/>
        <w:ind w:firstLine="567"/>
        <w:jc w:val="both"/>
        <w:rPr>
          <w:rFonts w:ascii="Times New Roman" w:hAnsi="Times New Roman" w:cs="Times New Roman"/>
          <w:sz w:val="24"/>
          <w:szCs w:val="24"/>
          <w:shd w:val="clear" w:color="auto" w:fill="FFFFFF"/>
        </w:rPr>
      </w:pPr>
      <w:r w:rsidRPr="00FD6C7E">
        <w:rPr>
          <w:rFonts w:ascii="Times New Roman" w:hAnsi="Times New Roman" w:cs="Times New Roman"/>
          <w:color w:val="000000"/>
          <w:sz w:val="24"/>
          <w:szCs w:val="24"/>
          <w:shd w:val="clear" w:color="auto" w:fill="FFFFFF"/>
        </w:rPr>
        <w:t>Использование Всемирным банком в исследовании «Ведение бизнеса 2017» двух новых индикаторов «Возврат НДС» и «Проверки по налогу на прибыль» повлекло существенную рокировку позиций по показателю «Налогообложение». Необходимо отметить, что новая методика оценки повлияла и на Республику Беларусь. Так, по итогам исследования «Ведение бизнеса 2017» Республика Беларусь по показателю «Налогообложение» заняла 99 место, а по итогам традиционного пересмотра результатов предыдущего периода условно считается, что наша страна занимала не 63-е, а 95-е место. </w:t>
      </w:r>
    </w:p>
    <w:p w:rsidR="00E37F92" w:rsidRPr="00FD6C7E" w:rsidRDefault="00E37F92" w:rsidP="002A68FE">
      <w:pPr>
        <w:pStyle w:val="a4"/>
        <w:widowControl w:val="0"/>
        <w:ind w:firstLine="567"/>
        <w:jc w:val="both"/>
        <w:rPr>
          <w:rFonts w:ascii="Times New Roman" w:hAnsi="Times New Roman" w:cs="Times New Roman"/>
          <w:color w:val="000000"/>
          <w:sz w:val="24"/>
          <w:szCs w:val="24"/>
          <w:shd w:val="clear" w:color="auto" w:fill="FFFFFF"/>
        </w:rPr>
      </w:pPr>
      <w:r w:rsidRPr="00FD6C7E">
        <w:rPr>
          <w:rFonts w:ascii="Times New Roman" w:hAnsi="Times New Roman" w:cs="Times New Roman"/>
          <w:color w:val="000000"/>
          <w:sz w:val="24"/>
          <w:szCs w:val="24"/>
          <w:shd w:val="clear" w:color="auto" w:fill="FFFFFF"/>
        </w:rPr>
        <w:t>Основной причиной такого пересчета и текущей позиции явилась методология оценки критерия «Возврат НДС», учитывающая возможность возврата НДС только по оборотам внутри страны. В то время как в Республике Беларусь большинство плательщиков НДС получают возврат НДС в связи с применением ставки в размере 10 процентов или экспортом товаров (работ, услуг).  При этом возврат НДС из бюджета осуществляется в срок, не превышающий 37 дн</w:t>
      </w:r>
      <w:r w:rsidR="00C2532C">
        <w:rPr>
          <w:rFonts w:ascii="Times New Roman" w:hAnsi="Times New Roman" w:cs="Times New Roman"/>
          <w:color w:val="000000"/>
          <w:sz w:val="24"/>
          <w:szCs w:val="24"/>
          <w:shd w:val="clear" w:color="auto" w:fill="FFFFFF"/>
        </w:rPr>
        <w:t>ей, т.е. 5,2 недель, в то время</w:t>
      </w:r>
      <w:r w:rsidRPr="00FD6C7E">
        <w:rPr>
          <w:rFonts w:ascii="Times New Roman" w:hAnsi="Times New Roman" w:cs="Times New Roman"/>
          <w:color w:val="000000"/>
          <w:sz w:val="24"/>
          <w:szCs w:val="24"/>
          <w:shd w:val="clear" w:color="auto" w:fill="FFFFFF"/>
        </w:rPr>
        <w:t xml:space="preserve"> как у большинства развитых стран ЕС этот период составляет 6-10 недель.</w:t>
      </w:r>
      <w:r w:rsidR="00C2532C">
        <w:rPr>
          <w:rFonts w:ascii="Times New Roman" w:hAnsi="Times New Roman" w:cs="Times New Roman"/>
          <w:color w:val="000000"/>
          <w:sz w:val="24"/>
          <w:szCs w:val="24"/>
          <w:shd w:val="clear" w:color="auto" w:fill="FFFFFF"/>
        </w:rPr>
        <w:t xml:space="preserve"> </w:t>
      </w:r>
      <w:r w:rsidRPr="00FD6C7E">
        <w:rPr>
          <w:rFonts w:ascii="Times New Roman" w:hAnsi="Times New Roman" w:cs="Times New Roman"/>
          <w:color w:val="000000"/>
          <w:sz w:val="24"/>
          <w:szCs w:val="24"/>
          <w:shd w:val="clear" w:color="auto" w:fill="FFFFFF"/>
        </w:rPr>
        <w:t>Также следует учитывать, что согласно методике Всемирного банка при подготовке результатов исследования во внимание принимается налоговое законодательство с «опозданием» на два года. То есть налоговый блок исследования «Ведение бизнеса - 2017» составлен на основе законодательства 2015 года и, соответственно, не отражает систему налогообложения  на современном этапе.</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Оценивая любую налоговую политику, необходимо исходить из того, что она представляет собой сложный финансовый феномен, тесно связанный с состоянием экономики. Налоги из простого инструмента мобилизации доходов бюджета страны преобразуются в ведущий регулятор всего воспроизводственного процесса, воздействуя на различные пропорции, темпы и услови</w:t>
      </w:r>
      <w:r w:rsidR="00AB4082" w:rsidRPr="00FD6C7E">
        <w:rPr>
          <w:rFonts w:ascii="Times New Roman" w:hAnsi="Times New Roman" w:cs="Times New Roman"/>
          <w:sz w:val="24"/>
          <w:szCs w:val="24"/>
        </w:rPr>
        <w:t>я функционирования экономики [4</w:t>
      </w:r>
      <w:r w:rsidRPr="00FD6C7E">
        <w:rPr>
          <w:rFonts w:ascii="Times New Roman" w:hAnsi="Times New Roman" w:cs="Times New Roman"/>
          <w:sz w:val="24"/>
          <w:szCs w:val="24"/>
        </w:rPr>
        <w:t>, c. 354].</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 xml:space="preserve">При обосновании новой налоговой политики необходимо ориентироваться на приоритеты экономического развития республики. Ее стратегической целью должен стать вывод производства из кризиса, формирование конкурентоспособной рыночной системы, интегрирование Республики Беларусь в мировое хозяйство. Стратегия налогового регулирования может опираться на общепринятые принципы налогообложения и обеспечить </w:t>
      </w:r>
      <w:r w:rsidRPr="00FD6C7E">
        <w:rPr>
          <w:rFonts w:ascii="Times New Roman" w:hAnsi="Times New Roman" w:cs="Times New Roman"/>
          <w:sz w:val="24"/>
          <w:szCs w:val="24"/>
        </w:rPr>
        <w:lastRenderedPageBreak/>
        <w:t>всем хозяйствующим субъектам понижение уровня налоговой нагрузки и равенство налоговых изъятий. В данных целях необходимо освободить фонд заработной платы от многократного налогообложения, исключить из себестоимости продукции все не связанные с созданием налоговые элементы, снизить ставки НДС в секторах экономики с малым удельным весом материальных затрат в выручке от реализации, в итоге снизить цены на белорусские товары и услуги, обеспечить им конкурентоспособность на мировом рынке, создать условия для направлений вложений капитала в трудоемкие и наукоемкие отрасли.</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 xml:space="preserve">Существенная проблема налоговой политики Республики Беларусь </w:t>
      </w:r>
      <w:r w:rsidR="00C2532C">
        <w:rPr>
          <w:rFonts w:ascii="Times New Roman" w:hAnsi="Times New Roman" w:cs="Times New Roman"/>
          <w:sz w:val="24"/>
          <w:szCs w:val="24"/>
        </w:rPr>
        <w:t>–</w:t>
      </w:r>
      <w:r w:rsidRPr="00FD6C7E">
        <w:rPr>
          <w:rFonts w:ascii="Times New Roman" w:hAnsi="Times New Roman" w:cs="Times New Roman"/>
          <w:sz w:val="24"/>
          <w:szCs w:val="24"/>
        </w:rPr>
        <w:t xml:space="preserve"> это налоги, которые составляют незначительную долю в совместной массе доходов государства, но требуют значительных затрат на администрирование. От такого рода налогов лучше всего отказаться. Это касается налога на недвижимость, плательщиками которого являются владельцы дачных участков. В доходной части республиканского бюджета он составляет сотые доли процента между тем его сбор связан со значительными финансовыми затратами - до 30 % собранных средств.</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На данном этапе основными проблемами налоговой политики являются:</w:t>
      </w:r>
    </w:p>
    <w:p w:rsidR="00C4650D" w:rsidRPr="00FD6C7E" w:rsidRDefault="00C2532C" w:rsidP="002A68FE">
      <w:pPr>
        <w:pStyle w:val="a4"/>
        <w:widowControl w:val="0"/>
        <w:numPr>
          <w:ilvl w:val="0"/>
          <w:numId w:val="1"/>
        </w:numPr>
        <w:ind w:left="0" w:firstLine="567"/>
        <w:jc w:val="both"/>
        <w:rPr>
          <w:rFonts w:ascii="Times New Roman" w:hAnsi="Times New Roman" w:cs="Times New Roman"/>
          <w:sz w:val="24"/>
          <w:szCs w:val="24"/>
        </w:rPr>
      </w:pPr>
      <w:r>
        <w:rPr>
          <w:rFonts w:ascii="Times New Roman" w:hAnsi="Times New Roman" w:cs="Times New Roman"/>
          <w:sz w:val="24"/>
          <w:szCs w:val="24"/>
        </w:rPr>
        <w:t>с</w:t>
      </w:r>
      <w:r w:rsidR="00C4650D" w:rsidRPr="00FD6C7E">
        <w:rPr>
          <w:rFonts w:ascii="Times New Roman" w:hAnsi="Times New Roman" w:cs="Times New Roman"/>
          <w:sz w:val="24"/>
          <w:szCs w:val="24"/>
        </w:rPr>
        <w:t>окрытие объектов налогообложения либо существенное занижение налогов. Субъектам предпринимательства довольно часто удается уклониться от уплаты налогов за счет манипуляции с ценами на реализуемую продукцию, в</w:t>
      </w:r>
      <w:r>
        <w:rPr>
          <w:rFonts w:ascii="Times New Roman" w:hAnsi="Times New Roman" w:cs="Times New Roman"/>
          <w:sz w:val="24"/>
          <w:szCs w:val="24"/>
        </w:rPr>
        <w:t>ыполнения работ, оказание услуг;</w:t>
      </w:r>
    </w:p>
    <w:p w:rsidR="00C2532C" w:rsidRDefault="00C2532C" w:rsidP="00C2532C">
      <w:pPr>
        <w:pStyle w:val="a4"/>
        <w:widowControl w:val="0"/>
        <w:numPr>
          <w:ilvl w:val="0"/>
          <w:numId w:val="1"/>
        </w:numPr>
        <w:ind w:left="0" w:firstLine="567"/>
        <w:jc w:val="both"/>
        <w:rPr>
          <w:rFonts w:ascii="Times New Roman" w:hAnsi="Times New Roman" w:cs="Times New Roman"/>
          <w:sz w:val="24"/>
          <w:szCs w:val="24"/>
        </w:rPr>
      </w:pPr>
      <w:r>
        <w:rPr>
          <w:rFonts w:ascii="Times New Roman" w:hAnsi="Times New Roman" w:cs="Times New Roman"/>
          <w:sz w:val="24"/>
          <w:szCs w:val="24"/>
        </w:rPr>
        <w:t>в</w:t>
      </w:r>
      <w:r w:rsidR="00C4650D" w:rsidRPr="00FD6C7E">
        <w:rPr>
          <w:rFonts w:ascii="Times New Roman" w:hAnsi="Times New Roman" w:cs="Times New Roman"/>
          <w:sz w:val="24"/>
          <w:szCs w:val="24"/>
        </w:rPr>
        <w:t>ысокая периодичность уплаты налогов. В Республике Беларусь большая часть налогов уплачивается раз с месяц, а в других государствам отчетным периодом по налогам явля</w:t>
      </w:r>
      <w:r>
        <w:rPr>
          <w:rFonts w:ascii="Times New Roman" w:hAnsi="Times New Roman" w:cs="Times New Roman"/>
          <w:sz w:val="24"/>
          <w:szCs w:val="24"/>
        </w:rPr>
        <w:t>ется календарный год;</w:t>
      </w:r>
    </w:p>
    <w:p w:rsidR="00C2532C" w:rsidRDefault="00C4650D" w:rsidP="00C2532C">
      <w:pPr>
        <w:pStyle w:val="a4"/>
        <w:widowControl w:val="0"/>
        <w:numPr>
          <w:ilvl w:val="0"/>
          <w:numId w:val="1"/>
        </w:numPr>
        <w:ind w:left="0" w:firstLine="567"/>
        <w:jc w:val="both"/>
        <w:rPr>
          <w:rFonts w:ascii="Times New Roman" w:hAnsi="Times New Roman" w:cs="Times New Roman"/>
          <w:sz w:val="24"/>
          <w:szCs w:val="24"/>
        </w:rPr>
      </w:pPr>
      <w:r w:rsidRPr="00C2532C">
        <w:rPr>
          <w:rFonts w:ascii="Times New Roman" w:hAnsi="Times New Roman" w:cs="Times New Roman"/>
          <w:sz w:val="24"/>
          <w:szCs w:val="24"/>
        </w:rPr>
        <w:t>большая часть налогов изымается в бюджет еще до реализации продукции, что не может позитивно отображаться на объеме собственных оборотных средств компании и соответственно на их финансовой устойчивости.</w:t>
      </w:r>
    </w:p>
    <w:p w:rsidR="00C4650D" w:rsidRPr="00C2532C" w:rsidRDefault="00C4650D" w:rsidP="00C2532C">
      <w:pPr>
        <w:pStyle w:val="a4"/>
        <w:widowControl w:val="0"/>
        <w:numPr>
          <w:ilvl w:val="0"/>
          <w:numId w:val="1"/>
        </w:numPr>
        <w:ind w:left="0" w:firstLine="567"/>
        <w:jc w:val="both"/>
        <w:rPr>
          <w:rFonts w:ascii="Times New Roman" w:hAnsi="Times New Roman" w:cs="Times New Roman"/>
          <w:sz w:val="24"/>
          <w:szCs w:val="24"/>
        </w:rPr>
      </w:pPr>
      <w:r w:rsidRPr="00C2532C">
        <w:rPr>
          <w:rFonts w:ascii="Times New Roman" w:hAnsi="Times New Roman" w:cs="Times New Roman"/>
          <w:sz w:val="24"/>
          <w:szCs w:val="24"/>
        </w:rPr>
        <w:t>зависимост</w:t>
      </w:r>
      <w:r w:rsidR="00C2532C">
        <w:rPr>
          <w:rFonts w:ascii="Times New Roman" w:hAnsi="Times New Roman" w:cs="Times New Roman"/>
          <w:sz w:val="24"/>
          <w:szCs w:val="24"/>
        </w:rPr>
        <w:t>ь</w:t>
      </w:r>
      <w:r w:rsidRPr="00C2532C">
        <w:rPr>
          <w:rFonts w:ascii="Times New Roman" w:hAnsi="Times New Roman" w:cs="Times New Roman"/>
          <w:sz w:val="24"/>
          <w:szCs w:val="24"/>
        </w:rPr>
        <w:t xml:space="preserve"> величин</w:t>
      </w:r>
      <w:r w:rsidR="00C2532C">
        <w:rPr>
          <w:rFonts w:ascii="Times New Roman" w:hAnsi="Times New Roman" w:cs="Times New Roman"/>
          <w:sz w:val="24"/>
          <w:szCs w:val="24"/>
        </w:rPr>
        <w:t xml:space="preserve"> налоговых</w:t>
      </w:r>
      <w:r w:rsidRPr="00C2532C">
        <w:rPr>
          <w:rFonts w:ascii="Times New Roman" w:hAnsi="Times New Roman" w:cs="Times New Roman"/>
          <w:sz w:val="24"/>
          <w:szCs w:val="24"/>
        </w:rPr>
        <w:t xml:space="preserve"> платежей друг от друга. Ошибка в исчислении одного из них приводит к цепочке налоговых нарушений по другим платежам и к соответствующим финансовым санкциям, которые могут превышать недоплаченную сумму в несколько раз. Аналогичный механизм налоговой системы не используется в экономически развитых странах.</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 xml:space="preserve">В настоящее время для иностранных инвесторов серьезным барьером выступает не только высокий уровень налоговой нагрузки в стране, но и сложная налоговая система. Об этом свидетельствует низкое положение Республики Беларусь по условиям налогообложения по многим международным рейтингам. По данным </w:t>
      </w:r>
      <w:r w:rsidR="00C2532C">
        <w:rPr>
          <w:rFonts w:ascii="Times New Roman" w:hAnsi="Times New Roman" w:cs="Times New Roman"/>
          <w:sz w:val="24"/>
          <w:szCs w:val="24"/>
        </w:rPr>
        <w:t>«В</w:t>
      </w:r>
      <w:r w:rsidRPr="00FD6C7E">
        <w:rPr>
          <w:rFonts w:ascii="Times New Roman" w:hAnsi="Times New Roman" w:cs="Times New Roman"/>
          <w:sz w:val="24"/>
          <w:szCs w:val="24"/>
        </w:rPr>
        <w:t>едение бизнеса 2017 года</w:t>
      </w:r>
      <w:r w:rsidR="00C2532C">
        <w:rPr>
          <w:rFonts w:ascii="Times New Roman" w:hAnsi="Times New Roman" w:cs="Times New Roman"/>
          <w:sz w:val="24"/>
          <w:szCs w:val="24"/>
        </w:rPr>
        <w:t>»</w:t>
      </w:r>
      <w:r w:rsidRPr="00FD6C7E">
        <w:rPr>
          <w:rFonts w:ascii="Times New Roman" w:hAnsi="Times New Roman" w:cs="Times New Roman"/>
          <w:sz w:val="24"/>
          <w:szCs w:val="24"/>
        </w:rPr>
        <w:t xml:space="preserve"> положение Беларуси по простоте налогообложения по сравнению </w:t>
      </w:r>
      <w:r w:rsidR="00C2532C">
        <w:rPr>
          <w:rFonts w:ascii="Times New Roman" w:hAnsi="Times New Roman" w:cs="Times New Roman"/>
          <w:sz w:val="24"/>
          <w:szCs w:val="24"/>
        </w:rPr>
        <w:t>с предыдущими годами ухудшилось:</w:t>
      </w:r>
      <w:r w:rsidRPr="00FD6C7E">
        <w:rPr>
          <w:rFonts w:ascii="Times New Roman" w:hAnsi="Times New Roman" w:cs="Times New Roman"/>
          <w:sz w:val="24"/>
          <w:szCs w:val="24"/>
        </w:rPr>
        <w:t xml:space="preserve"> 99 место в мире среди 190 стран (ранее 65 место).</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В налоговой политике требуют постоянного внимания, глубокого осмысления и практического использования вопросов:</w:t>
      </w:r>
    </w:p>
    <w:p w:rsidR="00C4650D" w:rsidRPr="00FD6C7E" w:rsidRDefault="00C4650D" w:rsidP="002A68FE">
      <w:pPr>
        <w:pStyle w:val="a4"/>
        <w:widowControl w:val="0"/>
        <w:numPr>
          <w:ilvl w:val="0"/>
          <w:numId w:val="1"/>
        </w:numPr>
        <w:ind w:left="0" w:firstLine="567"/>
        <w:jc w:val="both"/>
        <w:rPr>
          <w:rFonts w:ascii="Times New Roman" w:hAnsi="Times New Roman" w:cs="Times New Roman"/>
          <w:sz w:val="24"/>
          <w:szCs w:val="24"/>
        </w:rPr>
      </w:pPr>
      <w:r w:rsidRPr="00FD6C7E">
        <w:rPr>
          <w:rFonts w:ascii="Times New Roman" w:hAnsi="Times New Roman" w:cs="Times New Roman"/>
          <w:sz w:val="24"/>
          <w:szCs w:val="24"/>
        </w:rPr>
        <w:t>льгот по налогам;</w:t>
      </w:r>
    </w:p>
    <w:p w:rsidR="00C4650D" w:rsidRPr="00FD6C7E" w:rsidRDefault="00C4650D" w:rsidP="002A68FE">
      <w:pPr>
        <w:pStyle w:val="a4"/>
        <w:widowControl w:val="0"/>
        <w:numPr>
          <w:ilvl w:val="0"/>
          <w:numId w:val="1"/>
        </w:numPr>
        <w:ind w:left="0" w:firstLine="567"/>
        <w:jc w:val="both"/>
        <w:rPr>
          <w:rFonts w:ascii="Times New Roman" w:hAnsi="Times New Roman" w:cs="Times New Roman"/>
          <w:sz w:val="24"/>
          <w:szCs w:val="24"/>
        </w:rPr>
      </w:pPr>
      <w:r w:rsidRPr="00FD6C7E">
        <w:rPr>
          <w:rFonts w:ascii="Times New Roman" w:hAnsi="Times New Roman" w:cs="Times New Roman"/>
          <w:sz w:val="24"/>
          <w:szCs w:val="24"/>
        </w:rPr>
        <w:t>введения дифференцированных налоговых ставок отдельно для производителей национального богатства и тех, кто его перераспределяет;</w:t>
      </w:r>
    </w:p>
    <w:p w:rsidR="00C4650D" w:rsidRPr="00FD6C7E" w:rsidRDefault="00C4650D" w:rsidP="002A68FE">
      <w:pPr>
        <w:pStyle w:val="a4"/>
        <w:widowControl w:val="0"/>
        <w:numPr>
          <w:ilvl w:val="0"/>
          <w:numId w:val="1"/>
        </w:numPr>
        <w:ind w:left="0" w:firstLine="567"/>
        <w:jc w:val="both"/>
        <w:rPr>
          <w:rFonts w:ascii="Times New Roman" w:hAnsi="Times New Roman" w:cs="Times New Roman"/>
          <w:sz w:val="24"/>
          <w:szCs w:val="24"/>
        </w:rPr>
      </w:pPr>
      <w:r w:rsidRPr="00FD6C7E">
        <w:rPr>
          <w:rFonts w:ascii="Times New Roman" w:hAnsi="Times New Roman" w:cs="Times New Roman"/>
          <w:sz w:val="24"/>
          <w:szCs w:val="24"/>
        </w:rPr>
        <w:t>последующего улучшения подоходного налога в условиях инфляции.</w:t>
      </w:r>
    </w:p>
    <w:p w:rsidR="00C4650D" w:rsidRPr="00FD6C7E" w:rsidRDefault="00C4650D" w:rsidP="002A68FE">
      <w:pPr>
        <w:pStyle w:val="a4"/>
        <w:widowControl w:val="0"/>
        <w:ind w:firstLine="567"/>
        <w:jc w:val="both"/>
        <w:rPr>
          <w:rFonts w:ascii="Times New Roman" w:hAnsi="Times New Roman" w:cs="Times New Roman"/>
          <w:sz w:val="24"/>
          <w:szCs w:val="24"/>
        </w:rPr>
      </w:pPr>
      <w:r w:rsidRPr="00FD6C7E">
        <w:rPr>
          <w:rFonts w:ascii="Times New Roman" w:hAnsi="Times New Roman" w:cs="Times New Roman"/>
          <w:sz w:val="24"/>
          <w:szCs w:val="24"/>
        </w:rPr>
        <w:t>В настоящее время в Республике Беларусь проводится активная работа по упрощению механизма исчисления отдельных платежей, рационализации структуры налогов в направлении общего снижения налоговой нагрузки. Главной целью корректировок налоговой политики считается достижение баланса интересов страны по сбору налогов и возможностям экономического развития.</w:t>
      </w:r>
    </w:p>
    <w:p w:rsidR="00C4650D" w:rsidRPr="00FD6C7E" w:rsidRDefault="00C4650D" w:rsidP="002A68FE">
      <w:pPr>
        <w:pStyle w:val="a4"/>
        <w:widowControl w:val="0"/>
        <w:ind w:firstLine="567"/>
        <w:jc w:val="center"/>
        <w:rPr>
          <w:rFonts w:ascii="Times New Roman" w:hAnsi="Times New Roman" w:cs="Times New Roman"/>
          <w:sz w:val="24"/>
          <w:szCs w:val="24"/>
        </w:rPr>
      </w:pPr>
    </w:p>
    <w:p w:rsidR="00584C6A" w:rsidRPr="000148A9" w:rsidRDefault="00584C6A" w:rsidP="002A68FE">
      <w:pPr>
        <w:pStyle w:val="a4"/>
        <w:widowControl w:val="0"/>
        <w:ind w:firstLine="567"/>
        <w:jc w:val="center"/>
        <w:rPr>
          <w:rFonts w:ascii="Times New Roman" w:hAnsi="Times New Roman" w:cs="Times New Roman"/>
          <w:b/>
          <w:sz w:val="24"/>
          <w:szCs w:val="24"/>
        </w:rPr>
      </w:pPr>
      <w:r w:rsidRPr="000148A9">
        <w:rPr>
          <w:rFonts w:ascii="Times New Roman" w:hAnsi="Times New Roman" w:cs="Times New Roman"/>
          <w:b/>
          <w:sz w:val="24"/>
          <w:szCs w:val="24"/>
        </w:rPr>
        <w:t>Список литературы</w:t>
      </w:r>
    </w:p>
    <w:p w:rsidR="00584C6A" w:rsidRPr="000148A9" w:rsidRDefault="000148A9" w:rsidP="000148A9">
      <w:pPr>
        <w:widowControl w:val="0"/>
        <w:spacing w:line="360" w:lineRule="auto"/>
        <w:ind w:firstLine="567"/>
        <w:jc w:val="both"/>
      </w:pPr>
      <w:r>
        <w:t xml:space="preserve">1. </w:t>
      </w:r>
      <w:r w:rsidR="00584C6A" w:rsidRPr="000148A9">
        <w:t xml:space="preserve">Гнатюк, С.Н. Макроэкономика: </w:t>
      </w:r>
      <w:proofErr w:type="gramStart"/>
      <w:r w:rsidR="00584C6A" w:rsidRPr="000148A9">
        <w:t>учеб.-</w:t>
      </w:r>
      <w:proofErr w:type="gramEnd"/>
      <w:r w:rsidR="00584C6A" w:rsidRPr="000148A9">
        <w:t xml:space="preserve">метод. комплекс/ С.Н. Гнатюк. </w:t>
      </w:r>
      <w:r>
        <w:t>–</w:t>
      </w:r>
      <w:r w:rsidR="00584C6A" w:rsidRPr="000148A9">
        <w:t xml:space="preserve"> Могилёв: МГУ им. А.А. Кулешова, 2015. </w:t>
      </w:r>
      <w:r>
        <w:t>–</w:t>
      </w:r>
      <w:r w:rsidR="00584C6A" w:rsidRPr="000148A9">
        <w:t xml:space="preserve"> 352 с.</w:t>
      </w:r>
    </w:p>
    <w:p w:rsidR="00584C6A" w:rsidRPr="000148A9" w:rsidRDefault="000148A9" w:rsidP="000148A9">
      <w:pPr>
        <w:widowControl w:val="0"/>
        <w:spacing w:line="360" w:lineRule="auto"/>
        <w:ind w:firstLine="567"/>
        <w:jc w:val="both"/>
      </w:pPr>
      <w:r>
        <w:t xml:space="preserve">2. </w:t>
      </w:r>
      <w:r w:rsidR="00584C6A" w:rsidRPr="000148A9">
        <w:t xml:space="preserve">Министерство по налогам и сборам Республики Беларусь [Электронный ресурс]. – </w:t>
      </w:r>
      <w:r w:rsidR="00584C6A" w:rsidRPr="000148A9">
        <w:lastRenderedPageBreak/>
        <w:t>Минск, 2019. – Режим доступа: http://www.nalog.gov.by. Дата доступа: 15.03.2019.</w:t>
      </w:r>
    </w:p>
    <w:p w:rsidR="00AB4082" w:rsidRPr="000148A9" w:rsidRDefault="000148A9" w:rsidP="000148A9">
      <w:pPr>
        <w:widowControl w:val="0"/>
        <w:spacing w:line="360" w:lineRule="auto"/>
        <w:ind w:firstLine="567"/>
        <w:jc w:val="both"/>
        <w:rPr>
          <w:bdr w:val="none" w:sz="0" w:space="0" w:color="auto" w:frame="1"/>
          <w:shd w:val="clear" w:color="auto" w:fill="FFFFFF"/>
        </w:rPr>
      </w:pPr>
      <w:r>
        <w:rPr>
          <w:bdr w:val="none" w:sz="0" w:space="0" w:color="auto" w:frame="1"/>
          <w:shd w:val="clear" w:color="auto" w:fill="FFFFFF"/>
        </w:rPr>
        <w:t xml:space="preserve">3. </w:t>
      </w:r>
      <w:r w:rsidR="00AB4082" w:rsidRPr="000148A9">
        <w:rPr>
          <w:bdr w:val="none" w:sz="0" w:space="0" w:color="auto" w:frame="1"/>
          <w:shd w:val="clear" w:color="auto" w:fill="FFFFFF"/>
        </w:rPr>
        <w:t>Министерство финансов Республики Беларусь [Электронный ресурс]. – Минск, 2019. – Режим доступа: http://www.minfin.gov.by. – Дата доступа: 15.03.2019.</w:t>
      </w:r>
    </w:p>
    <w:p w:rsidR="00584C6A" w:rsidRPr="000148A9" w:rsidRDefault="000148A9" w:rsidP="000148A9">
      <w:pPr>
        <w:widowControl w:val="0"/>
        <w:spacing w:line="360" w:lineRule="auto"/>
        <w:ind w:firstLine="567"/>
        <w:jc w:val="both"/>
        <w:rPr>
          <w:rStyle w:val="FontStyle26"/>
          <w:sz w:val="24"/>
          <w:szCs w:val="24"/>
        </w:rPr>
      </w:pPr>
      <w:r>
        <w:rPr>
          <w:rStyle w:val="FontStyle26"/>
          <w:sz w:val="24"/>
          <w:szCs w:val="24"/>
        </w:rPr>
        <w:t xml:space="preserve">4. </w:t>
      </w:r>
      <w:r w:rsidR="00584C6A" w:rsidRPr="000148A9">
        <w:rPr>
          <w:rStyle w:val="FontStyle26"/>
          <w:sz w:val="24"/>
          <w:szCs w:val="24"/>
        </w:rPr>
        <w:t xml:space="preserve">Налоги и налогообложение: учеб. пособие/ Е.Ф. Киреева [и др.]; под ред. Е.Ф.Киреевой. </w:t>
      </w:r>
      <w:r>
        <w:rPr>
          <w:rStyle w:val="FontStyle26"/>
          <w:sz w:val="24"/>
          <w:szCs w:val="24"/>
        </w:rPr>
        <w:t>–</w:t>
      </w:r>
      <w:r w:rsidR="00584C6A" w:rsidRPr="000148A9">
        <w:rPr>
          <w:rStyle w:val="FontStyle26"/>
          <w:sz w:val="24"/>
          <w:szCs w:val="24"/>
        </w:rPr>
        <w:t xml:space="preserve"> Минск: БГЭУ, 2012. </w:t>
      </w:r>
      <w:r>
        <w:rPr>
          <w:rStyle w:val="FontStyle26"/>
          <w:sz w:val="24"/>
          <w:szCs w:val="24"/>
        </w:rPr>
        <w:t>–</w:t>
      </w:r>
      <w:r w:rsidR="00584C6A" w:rsidRPr="000148A9">
        <w:rPr>
          <w:rStyle w:val="FontStyle26"/>
          <w:sz w:val="24"/>
          <w:szCs w:val="24"/>
        </w:rPr>
        <w:t xml:space="preserve"> 447 с.</w:t>
      </w:r>
    </w:p>
    <w:p w:rsidR="000148A9" w:rsidRDefault="000148A9" w:rsidP="000148A9">
      <w:pPr>
        <w:widowControl w:val="0"/>
        <w:ind w:firstLine="567"/>
        <w:jc w:val="center"/>
        <w:rPr>
          <w:b/>
        </w:rPr>
      </w:pPr>
    </w:p>
    <w:p w:rsidR="000148A9" w:rsidRDefault="000148A9" w:rsidP="000148A9">
      <w:pPr>
        <w:widowControl w:val="0"/>
        <w:ind w:firstLine="567"/>
        <w:jc w:val="center"/>
        <w:rPr>
          <w:b/>
        </w:rPr>
      </w:pPr>
      <w:r>
        <w:rPr>
          <w:b/>
        </w:rPr>
        <w:t>Информация об авторах</w:t>
      </w:r>
    </w:p>
    <w:p w:rsidR="000148A9" w:rsidRDefault="000148A9" w:rsidP="000148A9">
      <w:pPr>
        <w:widowControl w:val="0"/>
        <w:ind w:firstLine="567"/>
        <w:jc w:val="center"/>
        <w:rPr>
          <w:b/>
        </w:rPr>
      </w:pPr>
    </w:p>
    <w:p w:rsidR="000148A9" w:rsidRDefault="000148A9" w:rsidP="000148A9">
      <w:pPr>
        <w:widowControl w:val="0"/>
        <w:ind w:firstLine="567"/>
        <w:contextualSpacing/>
        <w:jc w:val="both"/>
      </w:pPr>
      <w:proofErr w:type="spellStart"/>
      <w:r>
        <w:t>Брингель</w:t>
      </w:r>
      <w:proofErr w:type="spellEnd"/>
      <w:r>
        <w:t xml:space="preserve"> Полина Валерьевна – 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 22, </w:t>
      </w:r>
      <w:hyperlink r:id="rId5" w:history="1">
        <w:r w:rsidRPr="000148A9">
          <w:rPr>
            <w:rStyle w:val="a6"/>
          </w:rPr>
          <w:t>Bringel_PV_16@student.grsu.by</w:t>
        </w:r>
      </w:hyperlink>
    </w:p>
    <w:p w:rsidR="000148A9" w:rsidRPr="000148A9" w:rsidRDefault="000148A9" w:rsidP="000148A9">
      <w:pPr>
        <w:widowControl w:val="0"/>
        <w:ind w:firstLine="567"/>
        <w:contextualSpacing/>
        <w:jc w:val="both"/>
        <w:rPr>
          <w:lang w:val="en-US"/>
        </w:rPr>
      </w:pPr>
      <w:r>
        <w:t>Янушевская Елена Эдуардовна – 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w:t>
      </w:r>
      <w:r w:rsidRPr="000148A9">
        <w:rPr>
          <w:lang w:val="en-US"/>
        </w:rPr>
        <w:t>, 22</w:t>
      </w:r>
    </w:p>
    <w:p w:rsidR="000148A9" w:rsidRPr="000148A9" w:rsidRDefault="000148A9" w:rsidP="000148A9">
      <w:pPr>
        <w:widowControl w:val="0"/>
        <w:ind w:firstLine="567"/>
        <w:contextualSpacing/>
        <w:jc w:val="both"/>
        <w:rPr>
          <w:lang w:val="en-US"/>
        </w:rPr>
      </w:pPr>
    </w:p>
    <w:p w:rsidR="000148A9" w:rsidRDefault="000148A9" w:rsidP="000148A9">
      <w:pPr>
        <w:widowControl w:val="0"/>
        <w:spacing w:line="360" w:lineRule="auto"/>
        <w:ind w:firstLine="567"/>
        <w:jc w:val="right"/>
        <w:rPr>
          <w:b/>
          <w:color w:val="000000" w:themeColor="text1"/>
        </w:rPr>
      </w:pPr>
      <w:proofErr w:type="spellStart"/>
      <w:r w:rsidRPr="000148A9">
        <w:rPr>
          <w:b/>
          <w:color w:val="000000" w:themeColor="text1"/>
          <w:lang w:val="en-US"/>
        </w:rPr>
        <w:t>Bringel</w:t>
      </w:r>
      <w:proofErr w:type="spellEnd"/>
      <w:r w:rsidRPr="000148A9">
        <w:rPr>
          <w:b/>
          <w:color w:val="000000" w:themeColor="text1"/>
          <w:lang w:val="en-US"/>
        </w:rPr>
        <w:t xml:space="preserve"> P.V., </w:t>
      </w:r>
      <w:proofErr w:type="spellStart"/>
      <w:r w:rsidRPr="000148A9">
        <w:rPr>
          <w:b/>
          <w:color w:val="000000" w:themeColor="text1"/>
          <w:lang w:val="en-US"/>
        </w:rPr>
        <w:t>Yanushevskaya</w:t>
      </w:r>
      <w:proofErr w:type="spellEnd"/>
      <w:r w:rsidRPr="000148A9">
        <w:rPr>
          <w:b/>
          <w:color w:val="000000" w:themeColor="text1"/>
          <w:lang w:val="en-US"/>
        </w:rPr>
        <w:t xml:space="preserve"> E.E. </w:t>
      </w:r>
    </w:p>
    <w:p w:rsidR="000148A9" w:rsidRDefault="000148A9" w:rsidP="000148A9">
      <w:pPr>
        <w:widowControl w:val="0"/>
        <w:spacing w:line="360" w:lineRule="auto"/>
        <w:ind w:firstLine="567"/>
        <w:jc w:val="center"/>
        <w:rPr>
          <w:b/>
          <w:color w:val="000000" w:themeColor="text1"/>
        </w:rPr>
      </w:pPr>
      <w:r w:rsidRPr="000148A9">
        <w:rPr>
          <w:b/>
          <w:color w:val="000000" w:themeColor="text1"/>
          <w:lang w:val="en-US"/>
        </w:rPr>
        <w:t xml:space="preserve">TAX POLICY OF THE REPUBLIC OF BELARUS </w:t>
      </w:r>
    </w:p>
    <w:p w:rsidR="000148A9" w:rsidRDefault="000148A9" w:rsidP="000148A9">
      <w:pPr>
        <w:widowControl w:val="0"/>
        <w:spacing w:line="360" w:lineRule="auto"/>
        <w:ind w:firstLine="709"/>
        <w:jc w:val="both"/>
        <w:rPr>
          <w:b/>
          <w:color w:val="000000" w:themeColor="text1"/>
        </w:rPr>
      </w:pPr>
      <w:r w:rsidRPr="000148A9">
        <w:rPr>
          <w:b/>
          <w:color w:val="000000" w:themeColor="text1"/>
          <w:lang w:val="en-US"/>
        </w:rPr>
        <w:t xml:space="preserve">Abstract: </w:t>
      </w:r>
      <w:r w:rsidRPr="000148A9">
        <w:rPr>
          <w:i/>
          <w:color w:val="000000" w:themeColor="text1"/>
          <w:lang w:val="en-US"/>
        </w:rPr>
        <w:t xml:space="preserve">The article describes the features of the tax policy of the Republic of Belarus at the present stage. Analyzes the position of the Republic of Belarus in the Doing Business report of the World Bank. The main problems of tax policy are noted. </w:t>
      </w:r>
    </w:p>
    <w:p w:rsidR="000148A9" w:rsidRPr="000148A9" w:rsidRDefault="000148A9" w:rsidP="000148A9">
      <w:pPr>
        <w:widowControl w:val="0"/>
        <w:spacing w:line="360" w:lineRule="auto"/>
        <w:ind w:firstLine="709"/>
        <w:jc w:val="both"/>
        <w:rPr>
          <w:i/>
          <w:color w:val="000000" w:themeColor="text1"/>
          <w:lang w:val="en-US"/>
        </w:rPr>
      </w:pPr>
      <w:r w:rsidRPr="000148A9">
        <w:rPr>
          <w:b/>
          <w:color w:val="000000" w:themeColor="text1"/>
          <w:lang w:val="en-US"/>
        </w:rPr>
        <w:t xml:space="preserve">Keywords: </w:t>
      </w:r>
      <w:r w:rsidRPr="000148A9">
        <w:rPr>
          <w:i/>
          <w:color w:val="000000" w:themeColor="text1"/>
          <w:lang w:val="en-US"/>
        </w:rPr>
        <w:t>tax, tax policy, tax revenues.</w:t>
      </w:r>
    </w:p>
    <w:p w:rsidR="000148A9" w:rsidRDefault="000148A9" w:rsidP="000148A9">
      <w:pPr>
        <w:widowControl w:val="0"/>
        <w:spacing w:line="360" w:lineRule="auto"/>
        <w:ind w:firstLine="567"/>
        <w:jc w:val="center"/>
        <w:rPr>
          <w:b/>
          <w:color w:val="000000" w:themeColor="text1"/>
        </w:rPr>
      </w:pPr>
    </w:p>
    <w:p w:rsidR="000148A9" w:rsidRDefault="000148A9" w:rsidP="000148A9">
      <w:pPr>
        <w:widowControl w:val="0"/>
        <w:spacing w:line="360" w:lineRule="auto"/>
        <w:ind w:firstLine="567"/>
        <w:jc w:val="center"/>
        <w:rPr>
          <w:b/>
          <w:color w:val="000000" w:themeColor="text1"/>
          <w:lang w:val="en-US"/>
        </w:rPr>
      </w:pPr>
      <w:r>
        <w:rPr>
          <w:b/>
          <w:color w:val="000000" w:themeColor="text1"/>
          <w:lang w:val="en-US"/>
        </w:rPr>
        <w:t>Bibliography</w:t>
      </w:r>
    </w:p>
    <w:p w:rsidR="000148A9" w:rsidRDefault="000148A9" w:rsidP="000148A9">
      <w:pPr>
        <w:widowControl w:val="0"/>
        <w:spacing w:line="360" w:lineRule="auto"/>
        <w:ind w:firstLine="567"/>
        <w:jc w:val="both"/>
        <w:rPr>
          <w:color w:val="000000" w:themeColor="text1"/>
        </w:rPr>
      </w:pPr>
      <w:r w:rsidRPr="000148A9">
        <w:rPr>
          <w:color w:val="000000" w:themeColor="text1"/>
          <w:lang w:val="en-US"/>
        </w:rPr>
        <w:t xml:space="preserve">1. </w:t>
      </w:r>
      <w:proofErr w:type="spellStart"/>
      <w:r w:rsidRPr="000148A9">
        <w:rPr>
          <w:color w:val="000000" w:themeColor="text1"/>
          <w:lang w:val="en-US"/>
        </w:rPr>
        <w:t>Gnatyuk</w:t>
      </w:r>
      <w:proofErr w:type="spellEnd"/>
      <w:r w:rsidRPr="000148A9">
        <w:rPr>
          <w:color w:val="000000" w:themeColor="text1"/>
          <w:lang w:val="en-US"/>
        </w:rPr>
        <w:t xml:space="preserve">, S.N. Macroeconomics: study.-method. </w:t>
      </w:r>
      <w:proofErr w:type="gramStart"/>
      <w:r w:rsidRPr="000148A9">
        <w:rPr>
          <w:color w:val="000000" w:themeColor="text1"/>
          <w:lang w:val="en-US"/>
        </w:rPr>
        <w:t>complex</w:t>
      </w:r>
      <w:proofErr w:type="gramEnd"/>
      <w:r w:rsidRPr="000148A9">
        <w:rPr>
          <w:color w:val="000000" w:themeColor="text1"/>
          <w:lang w:val="en-US"/>
        </w:rPr>
        <w:t xml:space="preserve"> / S.N. </w:t>
      </w:r>
      <w:proofErr w:type="spellStart"/>
      <w:r w:rsidRPr="000148A9">
        <w:rPr>
          <w:color w:val="000000" w:themeColor="text1"/>
          <w:lang w:val="en-US"/>
        </w:rPr>
        <w:t>Gnatyuk</w:t>
      </w:r>
      <w:proofErr w:type="spellEnd"/>
      <w:r w:rsidRPr="000148A9">
        <w:rPr>
          <w:color w:val="000000" w:themeColor="text1"/>
          <w:lang w:val="en-US"/>
        </w:rPr>
        <w:t xml:space="preserve">. – </w:t>
      </w:r>
      <w:proofErr w:type="spellStart"/>
      <w:r w:rsidRPr="000148A9">
        <w:rPr>
          <w:color w:val="000000" w:themeColor="text1"/>
          <w:lang w:val="en-US"/>
        </w:rPr>
        <w:t>Mogilyov</w:t>
      </w:r>
      <w:proofErr w:type="spellEnd"/>
      <w:r w:rsidRPr="000148A9">
        <w:rPr>
          <w:color w:val="000000" w:themeColor="text1"/>
          <w:lang w:val="en-US"/>
        </w:rPr>
        <w:t xml:space="preserve">: Moscow State University. A.A. </w:t>
      </w:r>
      <w:proofErr w:type="spellStart"/>
      <w:r w:rsidRPr="000148A9">
        <w:rPr>
          <w:color w:val="000000" w:themeColor="text1"/>
          <w:lang w:val="en-US"/>
        </w:rPr>
        <w:t>Kuleshov</w:t>
      </w:r>
      <w:proofErr w:type="spellEnd"/>
      <w:r w:rsidRPr="000148A9">
        <w:rPr>
          <w:color w:val="000000" w:themeColor="text1"/>
          <w:lang w:val="en-US"/>
        </w:rPr>
        <w:t xml:space="preserve">, 2015. </w:t>
      </w:r>
      <w:r>
        <w:rPr>
          <w:color w:val="000000" w:themeColor="text1"/>
        </w:rPr>
        <w:t>–</w:t>
      </w:r>
      <w:r w:rsidRPr="000148A9">
        <w:rPr>
          <w:color w:val="000000" w:themeColor="text1"/>
          <w:lang w:val="en-US"/>
        </w:rPr>
        <w:t xml:space="preserve"> 352 p. </w:t>
      </w:r>
    </w:p>
    <w:p w:rsidR="000148A9" w:rsidRPr="000148A9" w:rsidRDefault="000148A9" w:rsidP="000148A9">
      <w:pPr>
        <w:widowControl w:val="0"/>
        <w:spacing w:line="360" w:lineRule="auto"/>
        <w:ind w:firstLine="567"/>
        <w:jc w:val="both"/>
        <w:rPr>
          <w:color w:val="000000" w:themeColor="text1"/>
          <w:lang w:val="en-US"/>
        </w:rPr>
      </w:pPr>
      <w:r w:rsidRPr="000148A9">
        <w:rPr>
          <w:color w:val="000000" w:themeColor="text1"/>
          <w:lang w:val="en-US"/>
        </w:rPr>
        <w:t xml:space="preserve">2. Ministry of Taxes and Levies of the Republic of Belarus [Electronic resource]. – Minsk, 2019. – Access mode: http://www.nalog.gov.by. – Access date: 15.03.2019. </w:t>
      </w:r>
    </w:p>
    <w:p w:rsidR="000148A9" w:rsidRPr="000148A9" w:rsidRDefault="000148A9" w:rsidP="000148A9">
      <w:pPr>
        <w:widowControl w:val="0"/>
        <w:spacing w:line="360" w:lineRule="auto"/>
        <w:ind w:firstLine="567"/>
        <w:jc w:val="both"/>
        <w:rPr>
          <w:color w:val="000000" w:themeColor="text1"/>
          <w:lang w:val="en-US"/>
        </w:rPr>
      </w:pPr>
      <w:r w:rsidRPr="000148A9">
        <w:rPr>
          <w:color w:val="000000" w:themeColor="text1"/>
          <w:lang w:val="en-US"/>
        </w:rPr>
        <w:t xml:space="preserve">3. Ministry of Finance of the Republic of Belarus [Electronic resource]. – Minsk, 2019. – Access mode: http://www.minfin.gov.by. – Access date: 15.03.2019. </w:t>
      </w:r>
    </w:p>
    <w:p w:rsidR="000148A9" w:rsidRDefault="000148A9" w:rsidP="000148A9">
      <w:pPr>
        <w:widowControl w:val="0"/>
        <w:spacing w:line="360" w:lineRule="auto"/>
        <w:ind w:firstLine="567"/>
        <w:jc w:val="both"/>
        <w:rPr>
          <w:color w:val="000000" w:themeColor="text1"/>
          <w:lang w:val="en-US"/>
        </w:rPr>
      </w:pPr>
      <w:r w:rsidRPr="000148A9">
        <w:rPr>
          <w:color w:val="000000" w:themeColor="text1"/>
          <w:lang w:val="en-US"/>
        </w:rPr>
        <w:t xml:space="preserve">4. Taxes and taxation: studies. </w:t>
      </w:r>
      <w:proofErr w:type="gramStart"/>
      <w:r w:rsidRPr="000148A9">
        <w:rPr>
          <w:color w:val="000000" w:themeColor="text1"/>
          <w:lang w:val="en-US"/>
        </w:rPr>
        <w:t>allowance</w:t>
      </w:r>
      <w:proofErr w:type="gramEnd"/>
      <w:r w:rsidRPr="000148A9">
        <w:rPr>
          <w:color w:val="000000" w:themeColor="text1"/>
          <w:lang w:val="en-US"/>
        </w:rPr>
        <w:t xml:space="preserve"> / E.F. </w:t>
      </w:r>
      <w:proofErr w:type="spellStart"/>
      <w:r w:rsidRPr="000148A9">
        <w:rPr>
          <w:color w:val="000000" w:themeColor="text1"/>
          <w:lang w:val="en-US"/>
        </w:rPr>
        <w:t>Kireeva</w:t>
      </w:r>
      <w:proofErr w:type="spellEnd"/>
      <w:r w:rsidRPr="000148A9">
        <w:rPr>
          <w:color w:val="000000" w:themeColor="text1"/>
          <w:lang w:val="en-US"/>
        </w:rPr>
        <w:t xml:space="preserve"> [and others]; by ed. EF </w:t>
      </w:r>
      <w:proofErr w:type="spellStart"/>
      <w:r w:rsidRPr="000148A9">
        <w:rPr>
          <w:color w:val="000000" w:themeColor="text1"/>
          <w:lang w:val="en-US"/>
        </w:rPr>
        <w:t>Kireeva</w:t>
      </w:r>
      <w:proofErr w:type="spellEnd"/>
      <w:r w:rsidRPr="000148A9">
        <w:rPr>
          <w:color w:val="000000" w:themeColor="text1"/>
          <w:lang w:val="en-US"/>
        </w:rPr>
        <w:t xml:space="preserve">. </w:t>
      </w:r>
      <w:r>
        <w:rPr>
          <w:color w:val="000000" w:themeColor="text1"/>
        </w:rPr>
        <w:t>–</w:t>
      </w:r>
      <w:r w:rsidRPr="000148A9">
        <w:rPr>
          <w:color w:val="000000" w:themeColor="text1"/>
          <w:lang w:val="en-US"/>
        </w:rPr>
        <w:t xml:space="preserve"> Minsk: BSEU, 2012. </w:t>
      </w:r>
      <w:r>
        <w:rPr>
          <w:color w:val="000000" w:themeColor="text1"/>
        </w:rPr>
        <w:t>–</w:t>
      </w:r>
      <w:r w:rsidRPr="000148A9">
        <w:rPr>
          <w:color w:val="000000" w:themeColor="text1"/>
          <w:lang w:val="en-US"/>
        </w:rPr>
        <w:t xml:space="preserve"> 447 p.</w:t>
      </w:r>
    </w:p>
    <w:p w:rsidR="000148A9" w:rsidRDefault="000148A9" w:rsidP="000148A9">
      <w:pPr>
        <w:widowControl w:val="0"/>
        <w:ind w:firstLine="567"/>
        <w:jc w:val="center"/>
        <w:rPr>
          <w:b/>
          <w:color w:val="000000" w:themeColor="text1"/>
          <w:lang w:val="en-US"/>
        </w:rPr>
      </w:pPr>
    </w:p>
    <w:p w:rsidR="000148A9" w:rsidRDefault="000148A9" w:rsidP="000148A9">
      <w:pPr>
        <w:widowControl w:val="0"/>
        <w:ind w:firstLine="567"/>
        <w:jc w:val="center"/>
        <w:rPr>
          <w:b/>
          <w:color w:val="000000" w:themeColor="text1"/>
          <w:lang w:val="en-US"/>
        </w:rPr>
      </w:pPr>
      <w:r>
        <w:rPr>
          <w:b/>
          <w:color w:val="000000" w:themeColor="text1"/>
          <w:lang w:val="en-US"/>
        </w:rPr>
        <w:t>Authors Information</w:t>
      </w:r>
    </w:p>
    <w:p w:rsidR="000148A9" w:rsidRPr="00B23201" w:rsidRDefault="000148A9" w:rsidP="000148A9">
      <w:pPr>
        <w:widowControl w:val="0"/>
        <w:ind w:firstLine="567"/>
        <w:jc w:val="both"/>
        <w:rPr>
          <w:rFonts w:eastAsia="Calibri"/>
          <w:lang w:val="en-US"/>
        </w:rPr>
      </w:pPr>
      <w:proofErr w:type="spellStart"/>
      <w:r w:rsidRPr="000148A9">
        <w:rPr>
          <w:rFonts w:eastAsia="Calibri"/>
          <w:lang w:val="en-US"/>
        </w:rPr>
        <w:t>Bringel</w:t>
      </w:r>
      <w:proofErr w:type="spellEnd"/>
      <w:r w:rsidRPr="000148A9">
        <w:rPr>
          <w:rFonts w:eastAsia="Calibri"/>
          <w:lang w:val="en-US"/>
        </w:rPr>
        <w:t xml:space="preserve"> </w:t>
      </w:r>
      <w:proofErr w:type="spellStart"/>
      <w:r w:rsidRPr="000148A9">
        <w:rPr>
          <w:rFonts w:eastAsia="Calibri"/>
          <w:lang w:val="en-US"/>
        </w:rPr>
        <w:t>Polina</w:t>
      </w:r>
      <w:proofErr w:type="spellEnd"/>
      <w:r w:rsidRPr="000148A9">
        <w:rPr>
          <w:rFonts w:eastAsia="Calibri"/>
          <w:lang w:val="en-US"/>
        </w:rPr>
        <w:t xml:space="preserve"> </w:t>
      </w:r>
      <w:proofErr w:type="spellStart"/>
      <w:r w:rsidRPr="000148A9">
        <w:rPr>
          <w:rFonts w:eastAsia="Calibri"/>
          <w:lang w:val="en-US"/>
        </w:rPr>
        <w:t>Valerievna</w:t>
      </w:r>
      <w:proofErr w:type="spellEnd"/>
      <w:r>
        <w:rPr>
          <w:rFonts w:eastAsia="Calibri"/>
          <w:lang w:val="en-US"/>
        </w:rPr>
        <w:t xml:space="preserve"> – 3rd year student of the specialty "Finance and Credit", Faculty of Economics and Mana</w:t>
      </w:r>
      <w:r w:rsidR="00B23201">
        <w:rPr>
          <w:rFonts w:eastAsia="Calibri"/>
          <w:lang w:val="en-US"/>
        </w:rPr>
        <w:t>gement, Grodno State University</w:t>
      </w:r>
      <w:r>
        <w:rPr>
          <w:rFonts w:eastAsia="Calibri"/>
          <w:lang w:val="en-US"/>
        </w:rPr>
        <w:t xml:space="preserve"> Y. </w:t>
      </w:r>
      <w:proofErr w:type="spellStart"/>
      <w:r>
        <w:rPr>
          <w:rFonts w:eastAsia="Calibri"/>
          <w:lang w:val="en-US"/>
        </w:rPr>
        <w:t>Kupala</w:t>
      </w:r>
      <w:proofErr w:type="spellEnd"/>
      <w:r>
        <w:rPr>
          <w:rFonts w:eastAsia="Calibri"/>
          <w:lang w:val="en-US"/>
        </w:rPr>
        <w:t xml:space="preserve">, Grodno, </w:t>
      </w:r>
      <w:proofErr w:type="spellStart"/>
      <w:r>
        <w:rPr>
          <w:rFonts w:eastAsia="Calibri"/>
          <w:lang w:val="en-US"/>
        </w:rPr>
        <w:t>ul</w:t>
      </w:r>
      <w:proofErr w:type="spellEnd"/>
      <w:r>
        <w:rPr>
          <w:rFonts w:eastAsia="Calibri"/>
          <w:lang w:val="en-US"/>
        </w:rPr>
        <w:t xml:space="preserve">. </w:t>
      </w:r>
      <w:proofErr w:type="spellStart"/>
      <w:r>
        <w:rPr>
          <w:rFonts w:eastAsia="Calibri"/>
          <w:lang w:val="en-US"/>
        </w:rPr>
        <w:t>Ozheshko</w:t>
      </w:r>
      <w:proofErr w:type="spellEnd"/>
      <w:r>
        <w:rPr>
          <w:rFonts w:eastAsia="Calibri"/>
          <w:lang w:val="en-US"/>
        </w:rPr>
        <w:t>, 22</w:t>
      </w:r>
      <w:r w:rsidR="00B23201" w:rsidRPr="00B23201">
        <w:rPr>
          <w:rFonts w:eastAsia="Calibri"/>
          <w:lang w:val="en-US"/>
        </w:rPr>
        <w:t xml:space="preserve">, </w:t>
      </w:r>
      <w:hyperlink r:id="rId6" w:history="1">
        <w:r w:rsidR="00B23201" w:rsidRPr="00B23201">
          <w:rPr>
            <w:rStyle w:val="a6"/>
            <w:rFonts w:ascii="Arial" w:hAnsi="Arial" w:cs="Arial"/>
            <w:color w:val="71A5D4"/>
            <w:sz w:val="20"/>
            <w:szCs w:val="20"/>
            <w:lang w:val="en-US"/>
          </w:rPr>
          <w:t>Bringel_PV_16@student.grsu.by</w:t>
        </w:r>
      </w:hyperlink>
    </w:p>
    <w:p w:rsidR="000148A9" w:rsidRPr="00B23201" w:rsidRDefault="000148A9" w:rsidP="000148A9">
      <w:pPr>
        <w:widowControl w:val="0"/>
        <w:ind w:firstLine="567"/>
        <w:jc w:val="both"/>
        <w:rPr>
          <w:rFonts w:eastAsia="Calibri"/>
          <w:lang w:val="en-US"/>
        </w:rPr>
      </w:pPr>
      <w:proofErr w:type="spellStart"/>
      <w:r w:rsidRPr="00B23201">
        <w:rPr>
          <w:rFonts w:eastAsia="Calibri"/>
          <w:lang w:val="en-US"/>
        </w:rPr>
        <w:t>Yanushevskaya</w:t>
      </w:r>
      <w:proofErr w:type="spellEnd"/>
      <w:r w:rsidRPr="00B23201">
        <w:rPr>
          <w:rFonts w:eastAsia="Calibri"/>
          <w:lang w:val="en-US"/>
        </w:rPr>
        <w:t xml:space="preserve"> Elena </w:t>
      </w:r>
      <w:proofErr w:type="spellStart"/>
      <w:r w:rsidRPr="00B23201">
        <w:rPr>
          <w:rFonts w:eastAsia="Calibri"/>
          <w:lang w:val="en-US"/>
        </w:rPr>
        <w:t>Eduardovna</w:t>
      </w:r>
      <w:proofErr w:type="spellEnd"/>
      <w:r w:rsidRPr="000148A9">
        <w:rPr>
          <w:rFonts w:eastAsia="Calibri"/>
          <w:lang w:val="en-US"/>
        </w:rPr>
        <w:t xml:space="preserve"> </w:t>
      </w:r>
      <w:r>
        <w:rPr>
          <w:rFonts w:eastAsia="Calibri"/>
          <w:lang w:val="en-US"/>
        </w:rPr>
        <w:t xml:space="preserve">– 3rd year student of the specialty "Finance and Credit", Faculty of Economics and Management, Grodno State University. </w:t>
      </w:r>
      <w:r w:rsidRPr="00B23201">
        <w:rPr>
          <w:rFonts w:eastAsia="Calibri"/>
          <w:lang w:val="en-US"/>
        </w:rPr>
        <w:t xml:space="preserve">Y. </w:t>
      </w:r>
      <w:proofErr w:type="spellStart"/>
      <w:r w:rsidRPr="00B23201">
        <w:rPr>
          <w:rFonts w:eastAsia="Calibri"/>
          <w:lang w:val="en-US"/>
        </w:rPr>
        <w:t>Kupala</w:t>
      </w:r>
      <w:proofErr w:type="spellEnd"/>
      <w:r w:rsidRPr="00B23201">
        <w:rPr>
          <w:rFonts w:eastAsia="Calibri"/>
          <w:lang w:val="en-US"/>
        </w:rPr>
        <w:t xml:space="preserve">, Grodno, </w:t>
      </w:r>
      <w:proofErr w:type="spellStart"/>
      <w:r w:rsidRPr="00B23201">
        <w:rPr>
          <w:rFonts w:eastAsia="Calibri"/>
          <w:lang w:val="en-US"/>
        </w:rPr>
        <w:t>ul</w:t>
      </w:r>
      <w:proofErr w:type="spellEnd"/>
      <w:r w:rsidRPr="00B23201">
        <w:rPr>
          <w:rFonts w:eastAsia="Calibri"/>
          <w:lang w:val="en-US"/>
        </w:rPr>
        <w:t xml:space="preserve">. </w:t>
      </w:r>
      <w:proofErr w:type="spellStart"/>
      <w:r w:rsidRPr="00B23201">
        <w:rPr>
          <w:rFonts w:eastAsia="Calibri"/>
          <w:lang w:val="en-US"/>
        </w:rPr>
        <w:t>Ozheshko</w:t>
      </w:r>
      <w:proofErr w:type="spellEnd"/>
      <w:r w:rsidRPr="00B23201">
        <w:rPr>
          <w:rFonts w:eastAsia="Calibri"/>
          <w:lang w:val="en-US"/>
        </w:rPr>
        <w:t>, 22, Zinovchik_DA_16@student.grsu.by</w:t>
      </w:r>
    </w:p>
    <w:p w:rsidR="000148A9" w:rsidRPr="00B23201" w:rsidRDefault="000148A9" w:rsidP="000148A9">
      <w:pPr>
        <w:widowControl w:val="0"/>
        <w:spacing w:line="360" w:lineRule="auto"/>
        <w:ind w:firstLine="567"/>
        <w:jc w:val="both"/>
        <w:rPr>
          <w:rFonts w:eastAsiaTheme="minorHAnsi"/>
          <w:color w:val="000000" w:themeColor="text1"/>
          <w:u w:val="single"/>
          <w:lang w:val="en-US" w:eastAsia="en-US"/>
        </w:rPr>
      </w:pPr>
    </w:p>
    <w:p w:rsidR="0082797D" w:rsidRPr="00B23201" w:rsidRDefault="0082797D" w:rsidP="002A68FE">
      <w:pPr>
        <w:widowControl w:val="0"/>
        <w:ind w:firstLine="567"/>
        <w:rPr>
          <w:lang w:val="en-US"/>
        </w:rPr>
      </w:pPr>
    </w:p>
    <w:sectPr w:rsidR="0082797D" w:rsidRPr="00B23201" w:rsidSect="00FD6C7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F21A34"/>
    <w:multiLevelType w:val="hybridMultilevel"/>
    <w:tmpl w:val="6FFEFEFA"/>
    <w:lvl w:ilvl="0" w:tplc="4D7C248A">
      <w:start w:val="1"/>
      <w:numFmt w:val="decimal"/>
      <w:lvlText w:val="%1."/>
      <w:lvlJc w:val="left"/>
      <w:pPr>
        <w:ind w:left="1211" w:hanging="360"/>
      </w:pPr>
      <w:rPr>
        <w:rFonts w:ascii="Times New Roman" w:eastAsia="Times New Roman" w:hAnsi="Times New Roman" w:cs="Times New Roman"/>
        <w:sz w:val="28"/>
        <w:szCs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6BCD715F"/>
    <w:multiLevelType w:val="hybridMultilevel"/>
    <w:tmpl w:val="42285C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7E277694"/>
    <w:multiLevelType w:val="hybridMultilevel"/>
    <w:tmpl w:val="386602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F92"/>
    <w:rsid w:val="000148A9"/>
    <w:rsid w:val="001404D3"/>
    <w:rsid w:val="002613A8"/>
    <w:rsid w:val="002A68FE"/>
    <w:rsid w:val="003B08D7"/>
    <w:rsid w:val="004F354E"/>
    <w:rsid w:val="00584C6A"/>
    <w:rsid w:val="006B66A0"/>
    <w:rsid w:val="006C109E"/>
    <w:rsid w:val="00725FFE"/>
    <w:rsid w:val="0082797D"/>
    <w:rsid w:val="00A9523F"/>
    <w:rsid w:val="00AB4082"/>
    <w:rsid w:val="00B23201"/>
    <w:rsid w:val="00B46363"/>
    <w:rsid w:val="00B8197A"/>
    <w:rsid w:val="00C2532C"/>
    <w:rsid w:val="00C4650D"/>
    <w:rsid w:val="00C67B9F"/>
    <w:rsid w:val="00E37F92"/>
    <w:rsid w:val="00E96AD8"/>
    <w:rsid w:val="00E97D2F"/>
    <w:rsid w:val="00ED0933"/>
    <w:rsid w:val="00FC751E"/>
    <w:rsid w:val="00FD6C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83B60F-9817-4B82-8C44-E945A8D0E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7F9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7F92"/>
    <w:pPr>
      <w:spacing w:after="200" w:line="276" w:lineRule="auto"/>
      <w:ind w:left="720"/>
      <w:contextualSpacing/>
    </w:pPr>
    <w:rPr>
      <w:rFonts w:asciiTheme="minorHAnsi" w:eastAsiaTheme="minorHAnsi" w:hAnsiTheme="minorHAnsi" w:cstheme="minorBidi"/>
      <w:sz w:val="22"/>
      <w:szCs w:val="22"/>
      <w:lang w:eastAsia="en-US"/>
    </w:rPr>
  </w:style>
  <w:style w:type="paragraph" w:styleId="a4">
    <w:name w:val="No Spacing"/>
    <w:uiPriority w:val="1"/>
    <w:qFormat/>
    <w:rsid w:val="00E37F92"/>
    <w:pPr>
      <w:spacing w:after="0" w:line="240" w:lineRule="auto"/>
    </w:pPr>
  </w:style>
  <w:style w:type="character" w:customStyle="1" w:styleId="FontStyle26">
    <w:name w:val="Font Style26"/>
    <w:uiPriority w:val="99"/>
    <w:rsid w:val="00584C6A"/>
    <w:rPr>
      <w:rFonts w:ascii="Times New Roman" w:hAnsi="Times New Roman" w:cs="Times New Roman"/>
      <w:sz w:val="26"/>
      <w:szCs w:val="26"/>
    </w:rPr>
  </w:style>
  <w:style w:type="table" w:styleId="a5">
    <w:name w:val="Table Grid"/>
    <w:basedOn w:val="a1"/>
    <w:uiPriority w:val="59"/>
    <w:rsid w:val="00AB408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Hyperlink"/>
    <w:basedOn w:val="a0"/>
    <w:uiPriority w:val="99"/>
    <w:unhideWhenUsed/>
    <w:rsid w:val="000148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62516">
      <w:bodyDiv w:val="1"/>
      <w:marLeft w:val="0"/>
      <w:marRight w:val="0"/>
      <w:marTop w:val="0"/>
      <w:marBottom w:val="0"/>
      <w:divBdr>
        <w:top w:val="none" w:sz="0" w:space="0" w:color="auto"/>
        <w:left w:val="none" w:sz="0" w:space="0" w:color="auto"/>
        <w:bottom w:val="none" w:sz="0" w:space="0" w:color="auto"/>
        <w:right w:val="none" w:sz="0" w:space="0" w:color="auto"/>
      </w:divBdr>
    </w:div>
    <w:div w:id="238289164">
      <w:bodyDiv w:val="1"/>
      <w:marLeft w:val="0"/>
      <w:marRight w:val="0"/>
      <w:marTop w:val="0"/>
      <w:marBottom w:val="0"/>
      <w:divBdr>
        <w:top w:val="none" w:sz="0" w:space="0" w:color="auto"/>
        <w:left w:val="none" w:sz="0" w:space="0" w:color="auto"/>
        <w:bottom w:val="none" w:sz="0" w:space="0" w:color="auto"/>
        <w:right w:val="none" w:sz="0" w:space="0" w:color="auto"/>
      </w:divBdr>
    </w:div>
    <w:div w:id="471556722">
      <w:bodyDiv w:val="1"/>
      <w:marLeft w:val="0"/>
      <w:marRight w:val="0"/>
      <w:marTop w:val="0"/>
      <w:marBottom w:val="0"/>
      <w:divBdr>
        <w:top w:val="none" w:sz="0" w:space="0" w:color="auto"/>
        <w:left w:val="none" w:sz="0" w:space="0" w:color="auto"/>
        <w:bottom w:val="none" w:sz="0" w:space="0" w:color="auto"/>
        <w:right w:val="none" w:sz="0" w:space="0" w:color="auto"/>
      </w:divBdr>
    </w:div>
    <w:div w:id="1175026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ringel_PV_16@student.grsu.by" TargetMode="External"/><Relationship Id="rId5" Type="http://schemas.openxmlformats.org/officeDocument/2006/relationships/hyperlink" Target="mailto:Bringel_PV_16@student.grsu.by"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2460</Words>
  <Characters>14025</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Palma</dc:creator>
  <cp:lastModifiedBy>Екатерина Георгиевна Леонидова</cp:lastModifiedBy>
  <cp:revision>2</cp:revision>
  <dcterms:created xsi:type="dcterms:W3CDTF">2019-05-13T06:29:00Z</dcterms:created>
  <dcterms:modified xsi:type="dcterms:W3CDTF">2019-05-13T06:29:00Z</dcterms:modified>
</cp:coreProperties>
</file>