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D7" w:rsidRPr="00D61B2D" w:rsidRDefault="002661D7" w:rsidP="002661D7">
      <w:pPr>
        <w:rPr>
          <w:b/>
        </w:rPr>
      </w:pPr>
      <w:bookmarkStart w:id="0" w:name="_Toc524618928"/>
      <w:r w:rsidRPr="00D61B2D">
        <w:rPr>
          <w:b/>
        </w:rPr>
        <w:t xml:space="preserve">УДК </w:t>
      </w:r>
      <w:r w:rsidRPr="002661D7">
        <w:rPr>
          <w:b/>
        </w:rPr>
        <w:t>336.01</w:t>
      </w:r>
    </w:p>
    <w:p w:rsidR="002661D7" w:rsidRPr="00D61B2D" w:rsidRDefault="002661D7" w:rsidP="002661D7">
      <w:pPr>
        <w:jc w:val="right"/>
        <w:rPr>
          <w:b/>
        </w:rPr>
      </w:pPr>
      <w:r w:rsidRPr="002661D7">
        <w:rPr>
          <w:b/>
        </w:rPr>
        <w:t>Печенская М.А.</w:t>
      </w:r>
    </w:p>
    <w:p w:rsidR="003C5FB2" w:rsidRDefault="003C5FB2" w:rsidP="002661D7">
      <w:pPr>
        <w:jc w:val="center"/>
        <w:rPr>
          <w:b/>
          <w:color w:val="000000" w:themeColor="text1"/>
          <w:sz w:val="28"/>
          <w:szCs w:val="28"/>
        </w:rPr>
      </w:pPr>
    </w:p>
    <w:p w:rsidR="002661D7" w:rsidRPr="003C5FB2" w:rsidRDefault="003C5FB2" w:rsidP="002661D7">
      <w:pPr>
        <w:jc w:val="center"/>
        <w:rPr>
          <w:b/>
          <w:color w:val="000000" w:themeColor="text1"/>
          <w:sz w:val="28"/>
          <w:szCs w:val="28"/>
        </w:rPr>
      </w:pPr>
      <w:r w:rsidRPr="003C5FB2">
        <w:rPr>
          <w:b/>
          <w:color w:val="000000" w:themeColor="text1"/>
          <w:sz w:val="28"/>
          <w:szCs w:val="28"/>
        </w:rPr>
        <w:t>Вопросы развития доходов региональных центров СЗФО</w:t>
      </w:r>
    </w:p>
    <w:bookmarkEnd w:id="0"/>
    <w:p w:rsidR="002661D7" w:rsidRDefault="002661D7" w:rsidP="002661D7">
      <w:pPr>
        <w:ind w:firstLine="709"/>
        <w:jc w:val="both"/>
        <w:rPr>
          <w:i/>
          <w:sz w:val="28"/>
          <w:szCs w:val="28"/>
        </w:rPr>
      </w:pPr>
    </w:p>
    <w:p w:rsidR="002C17ED" w:rsidRPr="00674AD3" w:rsidRDefault="003C5FB2" w:rsidP="002661D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Проанализирована трансформация доходных источников бюджетных систем административных центров СЗФО. </w:t>
      </w:r>
      <w:r w:rsidR="00633217">
        <w:rPr>
          <w:i/>
          <w:sz w:val="28"/>
          <w:szCs w:val="28"/>
        </w:rPr>
        <w:t xml:space="preserve">Для анализа места региональных центров в региональном бюджетном развитии разработан Индекс </w:t>
      </w:r>
      <w:proofErr w:type="spellStart"/>
      <w:r w:rsidR="00633217">
        <w:rPr>
          <w:i/>
          <w:sz w:val="28"/>
          <w:szCs w:val="28"/>
        </w:rPr>
        <w:t>центрорегиональной</w:t>
      </w:r>
      <w:proofErr w:type="spellEnd"/>
      <w:r w:rsidR="00633217">
        <w:rPr>
          <w:i/>
          <w:sz w:val="28"/>
          <w:szCs w:val="28"/>
        </w:rPr>
        <w:t xml:space="preserve"> дифференциации</w:t>
      </w:r>
      <w:r w:rsidR="004A1767">
        <w:rPr>
          <w:i/>
          <w:sz w:val="28"/>
          <w:szCs w:val="28"/>
        </w:rPr>
        <w:t xml:space="preserve"> </w:t>
      </w:r>
      <w:r w:rsidR="004A1767" w:rsidRPr="004A1767">
        <w:rPr>
          <w:i/>
          <w:sz w:val="28"/>
          <w:szCs w:val="28"/>
        </w:rPr>
        <w:t>(</w:t>
      </w:r>
      <w:r w:rsidR="004A1767">
        <w:rPr>
          <w:i/>
          <w:sz w:val="28"/>
          <w:szCs w:val="28"/>
          <w:lang w:val="en-US"/>
        </w:rPr>
        <w:t>ICRD</w:t>
      </w:r>
      <w:r w:rsidR="004A1767" w:rsidRPr="004A1767">
        <w:rPr>
          <w:i/>
          <w:sz w:val="28"/>
          <w:szCs w:val="28"/>
        </w:rPr>
        <w:t>)</w:t>
      </w:r>
      <w:r w:rsidR="00633217">
        <w:rPr>
          <w:i/>
          <w:sz w:val="28"/>
          <w:szCs w:val="28"/>
        </w:rPr>
        <w:t xml:space="preserve">, расчёт которого на примере </w:t>
      </w:r>
      <w:r>
        <w:rPr>
          <w:i/>
          <w:sz w:val="28"/>
          <w:szCs w:val="28"/>
        </w:rPr>
        <w:t>Вологодской области</w:t>
      </w:r>
      <w:r w:rsidR="00633217">
        <w:rPr>
          <w:i/>
          <w:sz w:val="28"/>
          <w:szCs w:val="28"/>
        </w:rPr>
        <w:t xml:space="preserve"> показал </w:t>
      </w:r>
      <w:r w:rsidR="00633217" w:rsidRPr="00633217">
        <w:rPr>
          <w:i/>
          <w:sz w:val="28"/>
          <w:szCs w:val="28"/>
        </w:rPr>
        <w:t>сближение уровней бюджетной обеспеченности регионального центра и региональной периферии, что  свидетельствует об ухудшении состояния бюджетов региональн</w:t>
      </w:r>
      <w:r>
        <w:rPr>
          <w:i/>
          <w:sz w:val="28"/>
          <w:szCs w:val="28"/>
        </w:rPr>
        <w:t>ого</w:t>
      </w:r>
      <w:r w:rsidR="00633217" w:rsidRPr="00633217">
        <w:rPr>
          <w:i/>
          <w:sz w:val="28"/>
          <w:szCs w:val="28"/>
        </w:rPr>
        <w:t xml:space="preserve"> центр</w:t>
      </w:r>
      <w:r>
        <w:rPr>
          <w:i/>
          <w:sz w:val="28"/>
          <w:szCs w:val="28"/>
        </w:rPr>
        <w:t>а</w:t>
      </w:r>
      <w:r w:rsidR="00633217" w:rsidRPr="00633217">
        <w:rPr>
          <w:i/>
          <w:sz w:val="28"/>
          <w:szCs w:val="28"/>
        </w:rPr>
        <w:t xml:space="preserve"> за счет выравнивания периферийных территорий.</w:t>
      </w:r>
      <w:r w:rsidR="004A1767">
        <w:rPr>
          <w:i/>
          <w:sz w:val="28"/>
          <w:szCs w:val="28"/>
        </w:rPr>
        <w:t xml:space="preserve"> Сделан вывод о том, что </w:t>
      </w:r>
      <w:r w:rsidR="00633217" w:rsidRPr="00633217">
        <w:rPr>
          <w:i/>
          <w:sz w:val="28"/>
          <w:szCs w:val="28"/>
        </w:rPr>
        <w:t>бюджеты региональных центров находятся в состоянии не развития, готового к социальным преобразованиям и экономическому росту, а выживания.</w:t>
      </w:r>
    </w:p>
    <w:p w:rsidR="002C17ED" w:rsidRPr="00674AD3" w:rsidRDefault="002C17ED" w:rsidP="002661D7">
      <w:pPr>
        <w:ind w:firstLine="709"/>
        <w:jc w:val="both"/>
        <w:rPr>
          <w:b/>
          <w:i/>
          <w:sz w:val="28"/>
          <w:szCs w:val="28"/>
        </w:rPr>
      </w:pPr>
    </w:p>
    <w:p w:rsidR="002C17ED" w:rsidRPr="00674AD3" w:rsidRDefault="00F30D85" w:rsidP="002661D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Ключевые слова: </w:t>
      </w:r>
      <w:r w:rsidR="003C5FB2">
        <w:rPr>
          <w:i/>
          <w:sz w:val="28"/>
          <w:szCs w:val="28"/>
        </w:rPr>
        <w:t>г</w:t>
      </w:r>
      <w:r w:rsidR="00C97532">
        <w:rPr>
          <w:i/>
          <w:sz w:val="28"/>
          <w:szCs w:val="28"/>
        </w:rPr>
        <w:t>ород</w:t>
      </w:r>
      <w:r>
        <w:rPr>
          <w:i/>
          <w:sz w:val="28"/>
          <w:szCs w:val="28"/>
        </w:rPr>
        <w:t>, региональный</w:t>
      </w:r>
      <w:r w:rsidR="009E6C35">
        <w:rPr>
          <w:i/>
          <w:sz w:val="28"/>
          <w:szCs w:val="28"/>
        </w:rPr>
        <w:t xml:space="preserve"> центр</w:t>
      </w:r>
      <w:r>
        <w:rPr>
          <w:i/>
          <w:sz w:val="28"/>
          <w:szCs w:val="28"/>
        </w:rPr>
        <w:t xml:space="preserve">, </w:t>
      </w:r>
      <w:r w:rsidR="00995D42">
        <w:rPr>
          <w:i/>
          <w:sz w:val="28"/>
          <w:szCs w:val="28"/>
        </w:rPr>
        <w:t xml:space="preserve">дифференциация, бюджетная обеспеченность, </w:t>
      </w:r>
      <w:r w:rsidR="003C5FB2">
        <w:rPr>
          <w:i/>
          <w:sz w:val="28"/>
          <w:szCs w:val="28"/>
        </w:rPr>
        <w:t>индекс</w:t>
      </w:r>
      <w:r>
        <w:rPr>
          <w:i/>
          <w:sz w:val="28"/>
          <w:szCs w:val="28"/>
        </w:rPr>
        <w:t xml:space="preserve"> </w:t>
      </w:r>
    </w:p>
    <w:p w:rsidR="00875C63" w:rsidRDefault="00875C63" w:rsidP="002661D7">
      <w:pPr>
        <w:ind w:firstLine="709"/>
        <w:jc w:val="both"/>
        <w:rPr>
          <w:sz w:val="28"/>
        </w:rPr>
      </w:pPr>
    </w:p>
    <w:p w:rsidR="00FC6D6C" w:rsidRDefault="00DE23DD" w:rsidP="002661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="00910952">
        <w:rPr>
          <w:sz w:val="28"/>
          <w:szCs w:val="28"/>
        </w:rPr>
        <w:t xml:space="preserve"> мировой</w:t>
      </w:r>
      <w:r>
        <w:rPr>
          <w:sz w:val="28"/>
          <w:szCs w:val="28"/>
        </w:rPr>
        <w:t xml:space="preserve"> глобализации</w:t>
      </w:r>
      <w:r w:rsidR="00910952">
        <w:rPr>
          <w:sz w:val="28"/>
          <w:szCs w:val="28"/>
        </w:rPr>
        <w:t>, введения политических санкций</w:t>
      </w:r>
      <w:r>
        <w:rPr>
          <w:sz w:val="28"/>
          <w:szCs w:val="28"/>
        </w:rPr>
        <w:t>, т</w:t>
      </w:r>
      <w:r w:rsidRPr="009E6C35">
        <w:rPr>
          <w:sz w:val="28"/>
          <w:szCs w:val="28"/>
        </w:rPr>
        <w:t>рансформаци</w:t>
      </w:r>
      <w:r>
        <w:rPr>
          <w:sz w:val="28"/>
          <w:szCs w:val="28"/>
        </w:rPr>
        <w:t>и</w:t>
      </w:r>
      <w:r w:rsidRPr="009E6C35">
        <w:rPr>
          <w:sz w:val="28"/>
          <w:szCs w:val="28"/>
        </w:rPr>
        <w:t xml:space="preserve"> социально-экономическ</w:t>
      </w:r>
      <w:r w:rsidR="00A07576">
        <w:rPr>
          <w:sz w:val="28"/>
          <w:szCs w:val="28"/>
        </w:rPr>
        <w:t>ой</w:t>
      </w:r>
      <w:r w:rsidR="00910952">
        <w:rPr>
          <w:sz w:val="28"/>
          <w:szCs w:val="28"/>
        </w:rPr>
        <w:t xml:space="preserve"> систем</w:t>
      </w:r>
      <w:r w:rsidR="004F5C4A">
        <w:rPr>
          <w:sz w:val="28"/>
          <w:szCs w:val="28"/>
        </w:rPr>
        <w:t>ы России</w:t>
      </w:r>
      <w:r w:rsidR="00910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наряду с устойчивым </w:t>
      </w:r>
      <w:r w:rsidR="00910952">
        <w:rPr>
          <w:sz w:val="28"/>
          <w:szCs w:val="28"/>
        </w:rPr>
        <w:t xml:space="preserve">национальным и </w:t>
      </w:r>
      <w:r>
        <w:rPr>
          <w:sz w:val="28"/>
          <w:szCs w:val="28"/>
        </w:rPr>
        <w:t>региональным развитием крайне актуальн</w:t>
      </w:r>
      <w:r w:rsidR="00353671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910952"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</w:t>
      </w:r>
      <w:r w:rsidR="00851182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минимизации </w:t>
      </w:r>
      <w:proofErr w:type="spellStart"/>
      <w:r>
        <w:rPr>
          <w:sz w:val="28"/>
          <w:szCs w:val="28"/>
        </w:rPr>
        <w:t>внутрирегиональных</w:t>
      </w:r>
      <w:proofErr w:type="spellEnd"/>
      <w:r>
        <w:rPr>
          <w:sz w:val="28"/>
          <w:szCs w:val="28"/>
        </w:rPr>
        <w:t xml:space="preserve"> </w:t>
      </w:r>
      <w:r w:rsidR="00851182">
        <w:rPr>
          <w:sz w:val="28"/>
          <w:szCs w:val="28"/>
        </w:rPr>
        <w:t xml:space="preserve">препятствий </w:t>
      </w:r>
      <w:r w:rsidR="00A07576">
        <w:rPr>
          <w:sz w:val="28"/>
          <w:szCs w:val="28"/>
        </w:rPr>
        <w:t>для роста</w:t>
      </w:r>
      <w:r>
        <w:rPr>
          <w:sz w:val="28"/>
          <w:szCs w:val="28"/>
        </w:rPr>
        <w:t xml:space="preserve">. </w:t>
      </w:r>
      <w:r w:rsidR="00851182">
        <w:rPr>
          <w:sz w:val="28"/>
          <w:szCs w:val="28"/>
        </w:rPr>
        <w:t xml:space="preserve">Одним из них является обострение </w:t>
      </w:r>
      <w:r w:rsidR="00851182" w:rsidRPr="009E6C35">
        <w:rPr>
          <w:sz w:val="28"/>
          <w:szCs w:val="28"/>
        </w:rPr>
        <w:t>проблем</w:t>
      </w:r>
      <w:r w:rsidR="004F5C4A">
        <w:rPr>
          <w:sz w:val="28"/>
          <w:szCs w:val="28"/>
        </w:rPr>
        <w:t xml:space="preserve"> динамичного</w:t>
      </w:r>
      <w:r w:rsidR="00851182">
        <w:rPr>
          <w:sz w:val="28"/>
          <w:szCs w:val="28"/>
        </w:rPr>
        <w:t xml:space="preserve"> развития город</w:t>
      </w:r>
      <w:r w:rsidR="00EA5D18">
        <w:rPr>
          <w:sz w:val="28"/>
          <w:szCs w:val="28"/>
        </w:rPr>
        <w:t>ов</w:t>
      </w:r>
      <w:r w:rsidR="004F5C4A">
        <w:rPr>
          <w:sz w:val="28"/>
          <w:szCs w:val="28"/>
        </w:rPr>
        <w:t>, которые в зарубежной</w:t>
      </w:r>
      <w:r w:rsidR="00A07576">
        <w:rPr>
          <w:sz w:val="28"/>
          <w:szCs w:val="28"/>
        </w:rPr>
        <w:t xml:space="preserve"> науке и</w:t>
      </w:r>
      <w:r w:rsidR="004F5C4A">
        <w:rPr>
          <w:sz w:val="28"/>
          <w:szCs w:val="28"/>
        </w:rPr>
        <w:t xml:space="preserve"> практике </w:t>
      </w:r>
      <w:r w:rsidR="00A07576">
        <w:rPr>
          <w:sz w:val="28"/>
          <w:szCs w:val="28"/>
        </w:rPr>
        <w:t xml:space="preserve">рассматриваются и </w:t>
      </w:r>
      <w:r w:rsidR="004F5C4A">
        <w:rPr>
          <w:sz w:val="28"/>
          <w:szCs w:val="28"/>
        </w:rPr>
        <w:t xml:space="preserve">являются драйверами </w:t>
      </w:r>
      <w:r w:rsidR="00A07576">
        <w:rPr>
          <w:sz w:val="28"/>
          <w:szCs w:val="28"/>
        </w:rPr>
        <w:t>национального</w:t>
      </w:r>
      <w:r w:rsidR="004F5C4A">
        <w:rPr>
          <w:sz w:val="28"/>
          <w:szCs w:val="28"/>
        </w:rPr>
        <w:t xml:space="preserve"> роста и элементами</w:t>
      </w:r>
      <w:r w:rsidR="004166F9">
        <w:rPr>
          <w:sz w:val="28"/>
          <w:szCs w:val="28"/>
        </w:rPr>
        <w:t xml:space="preserve"> структуризации</w:t>
      </w:r>
      <w:r w:rsidR="004166F9" w:rsidRPr="001503BE">
        <w:rPr>
          <w:sz w:val="28"/>
          <w:szCs w:val="28"/>
        </w:rPr>
        <w:t xml:space="preserve"> территори</w:t>
      </w:r>
      <w:r w:rsidR="004166F9">
        <w:rPr>
          <w:sz w:val="28"/>
          <w:szCs w:val="28"/>
        </w:rPr>
        <w:t>и, общества</w:t>
      </w:r>
      <w:r w:rsidR="004166F9" w:rsidRPr="001503BE">
        <w:rPr>
          <w:sz w:val="28"/>
          <w:szCs w:val="28"/>
        </w:rPr>
        <w:t xml:space="preserve"> и экономик</w:t>
      </w:r>
      <w:r w:rsidR="004166F9">
        <w:rPr>
          <w:sz w:val="28"/>
          <w:szCs w:val="28"/>
        </w:rPr>
        <w:t>и</w:t>
      </w:r>
      <w:r w:rsidR="00BC36DD">
        <w:rPr>
          <w:sz w:val="28"/>
          <w:szCs w:val="28"/>
        </w:rPr>
        <w:t xml:space="preserve"> </w:t>
      </w:r>
      <w:r w:rsidR="00BC36DD" w:rsidRPr="00BC36DD">
        <w:rPr>
          <w:sz w:val="28"/>
          <w:szCs w:val="28"/>
        </w:rPr>
        <w:t>[1-3]</w:t>
      </w:r>
      <w:r w:rsidR="001503BE" w:rsidRPr="001503BE">
        <w:rPr>
          <w:sz w:val="28"/>
          <w:szCs w:val="28"/>
        </w:rPr>
        <w:t xml:space="preserve">. </w:t>
      </w:r>
      <w:r w:rsidR="00353671">
        <w:rPr>
          <w:sz w:val="28"/>
          <w:szCs w:val="28"/>
        </w:rPr>
        <w:t>О</w:t>
      </w:r>
      <w:r w:rsidR="00FC6D6C">
        <w:rPr>
          <w:sz w:val="28"/>
          <w:szCs w:val="28"/>
        </w:rPr>
        <w:t xml:space="preserve"> необходимост</w:t>
      </w:r>
      <w:r w:rsidR="00353671">
        <w:rPr>
          <w:sz w:val="28"/>
          <w:szCs w:val="28"/>
        </w:rPr>
        <w:t>и</w:t>
      </w:r>
      <w:r w:rsidR="00FC6D6C">
        <w:rPr>
          <w:sz w:val="28"/>
          <w:szCs w:val="28"/>
        </w:rPr>
        <w:t xml:space="preserve"> создания такой </w:t>
      </w:r>
      <w:r w:rsidR="00FC6D6C" w:rsidRPr="0000118F">
        <w:rPr>
          <w:sz w:val="28"/>
          <w:szCs w:val="28"/>
        </w:rPr>
        <w:t>движущей сил</w:t>
      </w:r>
      <w:r w:rsidR="00FC6D6C">
        <w:rPr>
          <w:sz w:val="28"/>
          <w:szCs w:val="28"/>
        </w:rPr>
        <w:t>ы</w:t>
      </w:r>
      <w:r w:rsidR="00FC6D6C" w:rsidRPr="0000118F">
        <w:rPr>
          <w:sz w:val="28"/>
          <w:szCs w:val="28"/>
        </w:rPr>
        <w:t xml:space="preserve"> для страны</w:t>
      </w:r>
      <w:r w:rsidR="00FC6D6C">
        <w:rPr>
          <w:sz w:val="28"/>
          <w:szCs w:val="28"/>
        </w:rPr>
        <w:t xml:space="preserve"> у</w:t>
      </w:r>
      <w:r w:rsidR="00353671">
        <w:rPr>
          <w:sz w:val="28"/>
          <w:szCs w:val="28"/>
        </w:rPr>
        <w:t>помянул</w:t>
      </w:r>
      <w:r w:rsidR="00FC6D6C">
        <w:rPr>
          <w:sz w:val="28"/>
          <w:szCs w:val="28"/>
        </w:rPr>
        <w:t xml:space="preserve"> Президент России В.В. Путин во время послания Федеральному собранию в 2018 году</w:t>
      </w:r>
      <w:r w:rsidR="00BC36DD" w:rsidRPr="00BC36DD">
        <w:rPr>
          <w:sz w:val="28"/>
          <w:szCs w:val="28"/>
        </w:rPr>
        <w:t>[4]</w:t>
      </w:r>
      <w:r w:rsidR="00FC6D6C" w:rsidRPr="0000118F">
        <w:rPr>
          <w:sz w:val="28"/>
          <w:szCs w:val="28"/>
        </w:rPr>
        <w:t>.</w:t>
      </w:r>
    </w:p>
    <w:p w:rsidR="00801CA7" w:rsidRDefault="004137A3" w:rsidP="002661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D4C6E" w:rsidRPr="006D4C6E">
        <w:rPr>
          <w:sz w:val="28"/>
          <w:szCs w:val="28"/>
        </w:rPr>
        <w:t xml:space="preserve">е все </w:t>
      </w:r>
      <w:r w:rsidR="00992C29">
        <w:rPr>
          <w:sz w:val="28"/>
          <w:szCs w:val="28"/>
        </w:rPr>
        <w:t xml:space="preserve">города после проводимых в России </w:t>
      </w:r>
      <w:r w:rsidR="00EA7FEC">
        <w:rPr>
          <w:sz w:val="28"/>
          <w:szCs w:val="28"/>
        </w:rPr>
        <w:t xml:space="preserve">муниципальных и межбюджетных </w:t>
      </w:r>
      <w:r w:rsidR="00992C29">
        <w:rPr>
          <w:sz w:val="28"/>
          <w:szCs w:val="28"/>
        </w:rPr>
        <w:t xml:space="preserve">реформ оказались </w:t>
      </w:r>
      <w:r w:rsidR="00992C29" w:rsidRPr="006D4C6E">
        <w:rPr>
          <w:sz w:val="28"/>
          <w:szCs w:val="28"/>
        </w:rPr>
        <w:t>готовы к конкуренции за человеческие</w:t>
      </w:r>
      <w:r w:rsidR="00992C29">
        <w:rPr>
          <w:sz w:val="28"/>
          <w:szCs w:val="28"/>
        </w:rPr>
        <w:t xml:space="preserve"> и экономические</w:t>
      </w:r>
      <w:r w:rsidR="00992C29" w:rsidRPr="006D4C6E">
        <w:rPr>
          <w:sz w:val="28"/>
          <w:szCs w:val="28"/>
        </w:rPr>
        <w:t xml:space="preserve"> ресурсы</w:t>
      </w:r>
      <w:r w:rsidR="00AE3DD1">
        <w:rPr>
          <w:sz w:val="28"/>
          <w:szCs w:val="28"/>
        </w:rPr>
        <w:t xml:space="preserve"> и потому не </w:t>
      </w:r>
      <w:r w:rsidR="006D4C6E" w:rsidRPr="006D4C6E">
        <w:rPr>
          <w:sz w:val="28"/>
          <w:szCs w:val="28"/>
        </w:rPr>
        <w:t xml:space="preserve">смогли нарастить </w:t>
      </w:r>
      <w:r w:rsidR="00EA7FEC">
        <w:rPr>
          <w:sz w:val="28"/>
          <w:szCs w:val="28"/>
        </w:rPr>
        <w:t xml:space="preserve">ни </w:t>
      </w:r>
      <w:r w:rsidR="006D4C6E" w:rsidRPr="006D4C6E">
        <w:rPr>
          <w:sz w:val="28"/>
          <w:szCs w:val="28"/>
        </w:rPr>
        <w:t>человеческий капитал</w:t>
      </w:r>
      <w:r w:rsidR="00EA7FEC">
        <w:rPr>
          <w:sz w:val="28"/>
          <w:szCs w:val="28"/>
        </w:rPr>
        <w:t>, ни финансово-экономический потенциал</w:t>
      </w:r>
      <w:r w:rsidR="006D4C6E" w:rsidRPr="006D4C6E">
        <w:rPr>
          <w:sz w:val="28"/>
          <w:szCs w:val="28"/>
        </w:rPr>
        <w:t>.</w:t>
      </w:r>
      <w:r w:rsidRPr="004137A3">
        <w:rPr>
          <w:sz w:val="28"/>
          <w:szCs w:val="28"/>
        </w:rPr>
        <w:t xml:space="preserve"> </w:t>
      </w:r>
      <w:r w:rsidR="00AE3DD1">
        <w:rPr>
          <w:sz w:val="28"/>
          <w:szCs w:val="28"/>
        </w:rPr>
        <w:t>Н</w:t>
      </w:r>
      <w:r w:rsidR="00272DA6">
        <w:rPr>
          <w:sz w:val="28"/>
          <w:szCs w:val="28"/>
        </w:rPr>
        <w:t xml:space="preserve">а основании базы данных муниципальных образований Росстата за 2017 год, </w:t>
      </w:r>
      <w:r w:rsidR="00272DA6" w:rsidRPr="00C03F91">
        <w:rPr>
          <w:sz w:val="28"/>
          <w:szCs w:val="28"/>
        </w:rPr>
        <w:t xml:space="preserve">в 53 из </w:t>
      </w:r>
      <w:r w:rsidR="00272DA6">
        <w:rPr>
          <w:sz w:val="28"/>
          <w:szCs w:val="28"/>
        </w:rPr>
        <w:t>82</w:t>
      </w:r>
      <w:r w:rsidR="00272DA6" w:rsidRPr="00C03F91">
        <w:rPr>
          <w:sz w:val="28"/>
          <w:szCs w:val="28"/>
        </w:rPr>
        <w:t xml:space="preserve"> административных центров России обеспеченность бюджетными доходами на одного жителя </w:t>
      </w:r>
      <w:r w:rsidR="00272DA6">
        <w:rPr>
          <w:sz w:val="28"/>
          <w:szCs w:val="28"/>
        </w:rPr>
        <w:t xml:space="preserve">была </w:t>
      </w:r>
      <w:r w:rsidR="00272DA6" w:rsidRPr="00C03F91">
        <w:rPr>
          <w:sz w:val="28"/>
          <w:szCs w:val="28"/>
        </w:rPr>
        <w:t>ниже среднего значения.</w:t>
      </w:r>
      <w:r w:rsidR="00272DA6">
        <w:rPr>
          <w:sz w:val="28"/>
          <w:szCs w:val="28"/>
        </w:rPr>
        <w:t xml:space="preserve"> Более того, российская модель межбюджетных отношений выстроена таким образом, что предполагаемые объективные преимущества развития региональных центров су</w:t>
      </w:r>
      <w:r w:rsidR="00EA7FEC">
        <w:rPr>
          <w:sz w:val="28"/>
          <w:szCs w:val="28"/>
        </w:rPr>
        <w:t>зили</w:t>
      </w:r>
      <w:r w:rsidR="00272DA6">
        <w:rPr>
          <w:sz w:val="28"/>
          <w:szCs w:val="28"/>
        </w:rPr>
        <w:t xml:space="preserve"> для них не только инструментарий получения финансовой поддержки, но и подверг</w:t>
      </w:r>
      <w:r w:rsidR="00EA7FEC">
        <w:rPr>
          <w:sz w:val="28"/>
          <w:szCs w:val="28"/>
        </w:rPr>
        <w:t>ли</w:t>
      </w:r>
      <w:r w:rsidR="00272DA6">
        <w:rPr>
          <w:sz w:val="28"/>
          <w:szCs w:val="28"/>
        </w:rPr>
        <w:t xml:space="preserve"> участи «раскулачивания» городских бюджетов для выравнивания периферийных территорий региона. </w:t>
      </w:r>
      <w:r>
        <w:rPr>
          <w:sz w:val="28"/>
          <w:szCs w:val="28"/>
        </w:rPr>
        <w:t>Поэтому в</w:t>
      </w:r>
      <w:r w:rsidRPr="004166F9">
        <w:rPr>
          <w:sz w:val="28"/>
          <w:szCs w:val="28"/>
        </w:rPr>
        <w:t xml:space="preserve"> последнее время повышенное внимание широких научных кругов </w:t>
      </w:r>
      <w:r w:rsidR="00BC36DD" w:rsidRPr="00BC36DD">
        <w:rPr>
          <w:sz w:val="28"/>
          <w:szCs w:val="28"/>
        </w:rPr>
        <w:t>[5-</w:t>
      </w:r>
      <w:r w:rsidR="00173FC2" w:rsidRPr="00173FC2">
        <w:rPr>
          <w:sz w:val="28"/>
          <w:szCs w:val="28"/>
        </w:rPr>
        <w:t>8</w:t>
      </w:r>
      <w:r w:rsidR="00BC36DD" w:rsidRPr="00BC36DD">
        <w:rPr>
          <w:sz w:val="28"/>
          <w:szCs w:val="28"/>
        </w:rPr>
        <w:t xml:space="preserve">] </w:t>
      </w:r>
      <w:r w:rsidR="00801CA7" w:rsidRPr="004166F9">
        <w:rPr>
          <w:sz w:val="28"/>
          <w:szCs w:val="28"/>
        </w:rPr>
        <w:t xml:space="preserve">среди всего многообразия типов городов </w:t>
      </w:r>
      <w:r w:rsidR="00992C29" w:rsidRPr="004166F9">
        <w:rPr>
          <w:sz w:val="28"/>
          <w:szCs w:val="28"/>
        </w:rPr>
        <w:t xml:space="preserve">привлекает </w:t>
      </w:r>
      <w:r w:rsidR="00992C29">
        <w:rPr>
          <w:sz w:val="28"/>
          <w:szCs w:val="28"/>
        </w:rPr>
        <w:t xml:space="preserve">исследование факторов </w:t>
      </w:r>
      <w:r w:rsidR="00801CA7">
        <w:rPr>
          <w:sz w:val="28"/>
          <w:szCs w:val="28"/>
        </w:rPr>
        <w:t xml:space="preserve">развития так называемых городов с </w:t>
      </w:r>
      <w:r w:rsidR="00801CA7" w:rsidRPr="00021003">
        <w:rPr>
          <w:sz w:val="28"/>
          <w:szCs w:val="28"/>
        </w:rPr>
        <w:t>«административным ресурсом»</w:t>
      </w:r>
      <w:r w:rsidR="00801CA7">
        <w:rPr>
          <w:sz w:val="28"/>
          <w:szCs w:val="28"/>
        </w:rPr>
        <w:t xml:space="preserve">, но не являющихся городами федерального значения и имеющих численность населения до </w:t>
      </w:r>
      <w:r w:rsidR="002661D7">
        <w:rPr>
          <w:sz w:val="28"/>
          <w:szCs w:val="28"/>
        </w:rPr>
        <w:t>1 млн.</w:t>
      </w:r>
      <w:r w:rsidR="00801CA7">
        <w:rPr>
          <w:sz w:val="28"/>
          <w:szCs w:val="28"/>
        </w:rPr>
        <w:t xml:space="preserve"> человек.</w:t>
      </w:r>
      <w:r w:rsidR="004E75E9" w:rsidRPr="004E75E9">
        <w:rPr>
          <w:sz w:val="28"/>
          <w:szCs w:val="28"/>
        </w:rPr>
        <w:t xml:space="preserve"> </w:t>
      </w:r>
      <w:r w:rsidR="004E75E9" w:rsidRPr="009E6C35">
        <w:rPr>
          <w:sz w:val="28"/>
          <w:szCs w:val="28"/>
        </w:rPr>
        <w:t xml:space="preserve">Наряду с этим в </w:t>
      </w:r>
      <w:r w:rsidR="004E75E9" w:rsidRPr="009E6C35">
        <w:rPr>
          <w:sz w:val="28"/>
          <w:szCs w:val="28"/>
        </w:rPr>
        <w:lastRenderedPageBreak/>
        <w:t>настоящее время существует важная методологическая и практическая проблема, заключающаяся в необходимости повышения эффективности управления</w:t>
      </w:r>
      <w:r w:rsidR="004E75E9">
        <w:rPr>
          <w:sz w:val="28"/>
          <w:szCs w:val="28"/>
        </w:rPr>
        <w:t xml:space="preserve"> и</w:t>
      </w:r>
      <w:r w:rsidR="004E75E9" w:rsidRPr="009E6C35">
        <w:rPr>
          <w:sz w:val="28"/>
          <w:szCs w:val="28"/>
        </w:rPr>
        <w:t xml:space="preserve"> использования потенциала </w:t>
      </w:r>
      <w:r w:rsidR="004E75E9">
        <w:rPr>
          <w:sz w:val="28"/>
          <w:szCs w:val="28"/>
        </w:rPr>
        <w:t xml:space="preserve">городов </w:t>
      </w:r>
      <w:r w:rsidR="004E75E9" w:rsidRPr="009E6C35">
        <w:rPr>
          <w:sz w:val="28"/>
          <w:szCs w:val="28"/>
        </w:rPr>
        <w:t xml:space="preserve">в целях </w:t>
      </w:r>
      <w:r w:rsidR="004E75E9">
        <w:rPr>
          <w:sz w:val="28"/>
          <w:szCs w:val="28"/>
        </w:rPr>
        <w:t>укрепления их бюджетной обеспеченности</w:t>
      </w:r>
      <w:r w:rsidR="004E75E9" w:rsidRPr="009E6C35">
        <w:rPr>
          <w:sz w:val="28"/>
          <w:szCs w:val="28"/>
        </w:rPr>
        <w:t>.</w:t>
      </w:r>
    </w:p>
    <w:p w:rsidR="00580B84" w:rsidRDefault="0003313C" w:rsidP="00266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2012 года наметилось у</w:t>
      </w:r>
      <w:r w:rsidR="00BE557F">
        <w:rPr>
          <w:sz w:val="28"/>
          <w:szCs w:val="28"/>
        </w:rPr>
        <w:t xml:space="preserve">силение негативной структурной трансформации бюджетных </w:t>
      </w:r>
      <w:r w:rsidR="00580B84">
        <w:rPr>
          <w:sz w:val="28"/>
          <w:szCs w:val="28"/>
        </w:rPr>
        <w:t>доходов городских округов</w:t>
      </w:r>
      <w:r>
        <w:rPr>
          <w:sz w:val="28"/>
          <w:szCs w:val="28"/>
        </w:rPr>
        <w:t xml:space="preserve">, </w:t>
      </w:r>
      <w:r w:rsidR="00902CEB">
        <w:rPr>
          <w:sz w:val="28"/>
          <w:szCs w:val="28"/>
        </w:rPr>
        <w:t xml:space="preserve">обусловленной </w:t>
      </w:r>
      <w:r>
        <w:rPr>
          <w:sz w:val="28"/>
          <w:szCs w:val="28"/>
        </w:rPr>
        <w:t>превышени</w:t>
      </w:r>
      <w:r w:rsidR="00902CEB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CA0662">
        <w:rPr>
          <w:sz w:val="28"/>
          <w:szCs w:val="28"/>
        </w:rPr>
        <w:t>безвозмездны</w:t>
      </w:r>
      <w:r>
        <w:rPr>
          <w:sz w:val="28"/>
          <w:szCs w:val="28"/>
        </w:rPr>
        <w:t>х</w:t>
      </w:r>
      <w:r w:rsidR="00CA0662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й над</w:t>
      </w:r>
      <w:r w:rsidR="00CA0662">
        <w:rPr>
          <w:sz w:val="28"/>
          <w:szCs w:val="28"/>
        </w:rPr>
        <w:t xml:space="preserve"> налоговы</w:t>
      </w:r>
      <w:r>
        <w:rPr>
          <w:sz w:val="28"/>
          <w:szCs w:val="28"/>
        </w:rPr>
        <w:t>ми</w:t>
      </w:r>
      <w:r w:rsidR="00CA0662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ами</w:t>
      </w:r>
      <w:r w:rsidR="00580B84">
        <w:rPr>
          <w:sz w:val="28"/>
          <w:szCs w:val="28"/>
        </w:rPr>
        <w:t xml:space="preserve">. Неустойчивая динамика налоговых доходов была обусловлена преимущественно нестабильными поступлениями основного компонента доходной части бюджетов городских округов – </w:t>
      </w:r>
      <w:r w:rsidR="00902CEB">
        <w:rPr>
          <w:sz w:val="28"/>
          <w:szCs w:val="28"/>
        </w:rPr>
        <w:t>налога на доходы физических лиц</w:t>
      </w:r>
      <w:r w:rsidR="00580B84">
        <w:rPr>
          <w:sz w:val="28"/>
          <w:szCs w:val="28"/>
        </w:rPr>
        <w:t xml:space="preserve">. Только три города – Калининград, Мурманск и Псков </w:t>
      </w:r>
      <w:r w:rsidR="00902CEB">
        <w:rPr>
          <w:sz w:val="28"/>
          <w:szCs w:val="28"/>
        </w:rPr>
        <w:t>показали</w:t>
      </w:r>
      <w:r w:rsidR="00580B84">
        <w:rPr>
          <w:sz w:val="28"/>
          <w:szCs w:val="28"/>
        </w:rPr>
        <w:t xml:space="preserve"> увеличение сборов данного налога. </w:t>
      </w:r>
      <w:r w:rsidR="00B031D4">
        <w:rPr>
          <w:sz w:val="28"/>
          <w:szCs w:val="28"/>
        </w:rPr>
        <w:t>Сильнейшее</w:t>
      </w:r>
      <w:r w:rsidR="00580B84">
        <w:rPr>
          <w:sz w:val="28"/>
          <w:szCs w:val="28"/>
        </w:rPr>
        <w:t xml:space="preserve"> падение </w:t>
      </w:r>
      <w:r w:rsidR="00902CEB">
        <w:rPr>
          <w:sz w:val="28"/>
          <w:szCs w:val="28"/>
        </w:rPr>
        <w:t>налога</w:t>
      </w:r>
      <w:r w:rsidR="00580B84">
        <w:rPr>
          <w:sz w:val="28"/>
          <w:szCs w:val="28"/>
        </w:rPr>
        <w:t xml:space="preserve">, составившее более 50%, </w:t>
      </w:r>
      <w:r w:rsidR="00902CEB">
        <w:rPr>
          <w:sz w:val="28"/>
          <w:szCs w:val="28"/>
        </w:rPr>
        <w:t>произошло</w:t>
      </w:r>
      <w:r w:rsidR="00580B84">
        <w:rPr>
          <w:sz w:val="28"/>
          <w:szCs w:val="28"/>
        </w:rPr>
        <w:t xml:space="preserve"> в Вологде </w:t>
      </w:r>
      <w:r w:rsidR="00580B84" w:rsidRPr="00F06E6F">
        <w:rPr>
          <w:i/>
          <w:sz w:val="28"/>
          <w:szCs w:val="28"/>
        </w:rPr>
        <w:t xml:space="preserve">(табл. </w:t>
      </w:r>
      <w:r w:rsidR="00B031D4" w:rsidRPr="00F06E6F">
        <w:rPr>
          <w:i/>
          <w:sz w:val="28"/>
          <w:szCs w:val="28"/>
        </w:rPr>
        <w:t>1</w:t>
      </w:r>
      <w:r w:rsidR="00580B84" w:rsidRPr="00F06E6F">
        <w:rPr>
          <w:i/>
          <w:sz w:val="28"/>
          <w:szCs w:val="28"/>
        </w:rPr>
        <w:t>)</w:t>
      </w:r>
      <w:r w:rsidR="00580B84">
        <w:rPr>
          <w:sz w:val="28"/>
          <w:szCs w:val="28"/>
        </w:rPr>
        <w:t>.</w:t>
      </w:r>
    </w:p>
    <w:p w:rsidR="00902CEB" w:rsidRDefault="00580B84" w:rsidP="002661D7">
      <w:pPr>
        <w:tabs>
          <w:tab w:val="left" w:pos="1440"/>
        </w:tabs>
        <w:jc w:val="right"/>
      </w:pPr>
      <w:r w:rsidRPr="00F6159D">
        <w:t xml:space="preserve">Таблица </w:t>
      </w:r>
      <w:r w:rsidR="00F06E6F">
        <w:t>1</w:t>
      </w:r>
    </w:p>
    <w:p w:rsidR="00580B84" w:rsidRDefault="00580B84" w:rsidP="002661D7">
      <w:pPr>
        <w:tabs>
          <w:tab w:val="left" w:pos="1440"/>
        </w:tabs>
        <w:jc w:val="center"/>
        <w:rPr>
          <w:b/>
        </w:rPr>
      </w:pPr>
      <w:r w:rsidRPr="00902CEB">
        <w:rPr>
          <w:b/>
        </w:rPr>
        <w:t xml:space="preserve">Поступления </w:t>
      </w:r>
      <w:r w:rsidR="00902CEB">
        <w:rPr>
          <w:b/>
        </w:rPr>
        <w:t>налога на доходы физических лиц</w:t>
      </w:r>
      <w:r w:rsidRPr="00902CEB">
        <w:rPr>
          <w:b/>
        </w:rPr>
        <w:t xml:space="preserve"> в бюджеты городских округов СЗФ</w:t>
      </w:r>
      <w:r w:rsidR="00902CEB">
        <w:rPr>
          <w:b/>
        </w:rPr>
        <w:t>О</w:t>
      </w:r>
    </w:p>
    <w:tbl>
      <w:tblPr>
        <w:tblW w:w="102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934"/>
        <w:gridCol w:w="954"/>
        <w:gridCol w:w="991"/>
        <w:gridCol w:w="991"/>
        <w:gridCol w:w="992"/>
        <w:gridCol w:w="991"/>
        <w:gridCol w:w="876"/>
        <w:gridCol w:w="996"/>
        <w:gridCol w:w="974"/>
      </w:tblGrid>
      <w:tr w:rsidR="005B5692" w:rsidRPr="005B5692" w:rsidTr="005B5692">
        <w:trPr>
          <w:trHeight w:val="315"/>
        </w:trPr>
        <w:tc>
          <w:tcPr>
            <w:tcW w:w="1589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5B5692" w:rsidRPr="005B5692" w:rsidRDefault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2011 г.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5B5692" w:rsidRPr="005B5692" w:rsidRDefault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2012 г.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2013 г.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5692" w:rsidRPr="005B5692" w:rsidRDefault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5B5692" w:rsidRPr="005B5692" w:rsidRDefault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5B5692" w:rsidRPr="005B5692" w:rsidRDefault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2018 к 2011, %</w:t>
            </w:r>
          </w:p>
        </w:tc>
      </w:tr>
      <w:tr w:rsidR="00B031D4" w:rsidRPr="005B5692" w:rsidTr="006B0A93">
        <w:trPr>
          <w:trHeight w:val="315"/>
        </w:trPr>
        <w:tc>
          <w:tcPr>
            <w:tcW w:w="10288" w:type="dxa"/>
            <w:gridSpan w:val="10"/>
            <w:shd w:val="clear" w:color="auto" w:fill="auto"/>
            <w:vAlign w:val="center"/>
            <w:hideMark/>
          </w:tcPr>
          <w:p w:rsidR="00B031D4" w:rsidRPr="005B5692" w:rsidRDefault="00B031D4" w:rsidP="006B0A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Мурманск</w:t>
            </w:r>
          </w:p>
        </w:tc>
      </w:tr>
      <w:tr w:rsidR="00B031D4" w:rsidRPr="005B5692" w:rsidTr="006B0A93">
        <w:trPr>
          <w:trHeight w:val="315"/>
        </w:trPr>
        <w:tc>
          <w:tcPr>
            <w:tcW w:w="1589" w:type="dxa"/>
            <w:shd w:val="clear" w:color="auto" w:fill="auto"/>
            <w:vAlign w:val="center"/>
            <w:hideMark/>
          </w:tcPr>
          <w:p w:rsidR="00B031D4" w:rsidRPr="005B5692" w:rsidRDefault="00B031D4" w:rsidP="006B0A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B031D4" w:rsidRPr="005B5692" w:rsidRDefault="00B031D4" w:rsidP="006B0A93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3102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31D4" w:rsidRPr="005B5692" w:rsidRDefault="00B031D4" w:rsidP="006B0A93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3273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031D4" w:rsidRPr="005B5692" w:rsidRDefault="00B031D4" w:rsidP="006B0A93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3597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031D4" w:rsidRPr="005B5692" w:rsidRDefault="00B031D4" w:rsidP="006B0A93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2886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31D4" w:rsidRPr="005B5692" w:rsidRDefault="00B031D4" w:rsidP="006B0A93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3116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031D4" w:rsidRPr="005B5692" w:rsidRDefault="00B031D4" w:rsidP="006B0A93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3378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B031D4" w:rsidRPr="005B5692" w:rsidRDefault="00B031D4" w:rsidP="006B0A93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3649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031D4" w:rsidRPr="005B5692" w:rsidRDefault="00B031D4" w:rsidP="006B0A93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4128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B031D4" w:rsidRPr="005B5692" w:rsidRDefault="00B031D4" w:rsidP="006B0A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133,1</w:t>
            </w:r>
          </w:p>
        </w:tc>
      </w:tr>
      <w:tr w:rsidR="00B031D4" w:rsidRPr="005B5692" w:rsidTr="006B0A93">
        <w:trPr>
          <w:trHeight w:val="315"/>
        </w:trPr>
        <w:tc>
          <w:tcPr>
            <w:tcW w:w="1589" w:type="dxa"/>
            <w:shd w:val="clear" w:color="auto" w:fill="auto"/>
            <w:vAlign w:val="center"/>
            <w:hideMark/>
          </w:tcPr>
          <w:p w:rsidR="00B031D4" w:rsidRPr="005B5692" w:rsidRDefault="00B031D4" w:rsidP="006B0A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В % к налогам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B031D4" w:rsidRPr="005B5692" w:rsidRDefault="00B031D4" w:rsidP="006B0A93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31D4" w:rsidRPr="005B5692" w:rsidRDefault="00B031D4" w:rsidP="006B0A93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031D4" w:rsidRPr="005B5692" w:rsidRDefault="00B031D4" w:rsidP="006B0A93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031D4" w:rsidRPr="005B5692" w:rsidRDefault="00B031D4" w:rsidP="006B0A93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31D4" w:rsidRPr="005B5692" w:rsidRDefault="00B031D4" w:rsidP="006B0A93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031D4" w:rsidRPr="005B5692" w:rsidRDefault="00B031D4" w:rsidP="006B0A93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B031D4" w:rsidRPr="005B5692" w:rsidRDefault="00B031D4" w:rsidP="006B0A93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031D4" w:rsidRPr="005B5692" w:rsidRDefault="00B031D4" w:rsidP="006B0A93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B031D4" w:rsidRPr="005B5692" w:rsidRDefault="00B031D4" w:rsidP="006B0A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-29,3</w:t>
            </w:r>
          </w:p>
        </w:tc>
      </w:tr>
      <w:tr w:rsidR="005B5692" w:rsidRPr="005B5692" w:rsidTr="00F147FF">
        <w:trPr>
          <w:trHeight w:val="315"/>
        </w:trPr>
        <w:tc>
          <w:tcPr>
            <w:tcW w:w="10288" w:type="dxa"/>
            <w:gridSpan w:val="10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Калининград</w:t>
            </w:r>
          </w:p>
        </w:tc>
      </w:tr>
      <w:tr w:rsidR="005B5692" w:rsidRPr="005B5692" w:rsidTr="005B5692">
        <w:trPr>
          <w:trHeight w:val="315"/>
        </w:trPr>
        <w:tc>
          <w:tcPr>
            <w:tcW w:w="1589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2793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3165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2906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2931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2916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3120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3276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3688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132,0</w:t>
            </w:r>
          </w:p>
        </w:tc>
      </w:tr>
      <w:tr w:rsidR="005B5692" w:rsidRPr="005B5692" w:rsidTr="005B5692">
        <w:trPr>
          <w:trHeight w:val="315"/>
        </w:trPr>
        <w:tc>
          <w:tcPr>
            <w:tcW w:w="1589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В % к налогам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-16,2</w:t>
            </w:r>
          </w:p>
        </w:tc>
      </w:tr>
      <w:tr w:rsidR="005B5692" w:rsidRPr="005B5692" w:rsidTr="005B5692">
        <w:trPr>
          <w:trHeight w:val="315"/>
        </w:trPr>
        <w:tc>
          <w:tcPr>
            <w:tcW w:w="10288" w:type="dxa"/>
            <w:gridSpan w:val="10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Псков</w:t>
            </w:r>
          </w:p>
        </w:tc>
      </w:tr>
      <w:tr w:rsidR="005B5692" w:rsidRPr="005B5692" w:rsidTr="005B5692">
        <w:trPr>
          <w:trHeight w:val="315"/>
        </w:trPr>
        <w:tc>
          <w:tcPr>
            <w:tcW w:w="1589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882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898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878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997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1065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120,7</w:t>
            </w:r>
          </w:p>
        </w:tc>
      </w:tr>
      <w:tr w:rsidR="005B5692" w:rsidRPr="005B5692" w:rsidTr="005B5692">
        <w:trPr>
          <w:trHeight w:val="315"/>
        </w:trPr>
        <w:tc>
          <w:tcPr>
            <w:tcW w:w="1589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В % к налогам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-2,7</w:t>
            </w:r>
          </w:p>
        </w:tc>
      </w:tr>
      <w:tr w:rsidR="005B5692" w:rsidRPr="005B5692" w:rsidTr="005B5692">
        <w:trPr>
          <w:trHeight w:val="315"/>
        </w:trPr>
        <w:tc>
          <w:tcPr>
            <w:tcW w:w="10288" w:type="dxa"/>
            <w:gridSpan w:val="10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Архангельск</w:t>
            </w:r>
          </w:p>
        </w:tc>
      </w:tr>
      <w:tr w:rsidR="005B5692" w:rsidRPr="005B5692" w:rsidTr="005B5692">
        <w:trPr>
          <w:trHeight w:val="315"/>
        </w:trPr>
        <w:tc>
          <w:tcPr>
            <w:tcW w:w="1589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2690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2609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2826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2618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2654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2264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sz w:val="22"/>
                <w:szCs w:val="22"/>
              </w:rPr>
            </w:pPr>
            <w:r w:rsidRPr="005B5692">
              <w:rPr>
                <w:sz w:val="22"/>
                <w:szCs w:val="22"/>
              </w:rPr>
              <w:t>2861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3068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114,0</w:t>
            </w:r>
          </w:p>
        </w:tc>
      </w:tr>
      <w:tr w:rsidR="005B5692" w:rsidRPr="005B5692" w:rsidTr="005B5692">
        <w:trPr>
          <w:trHeight w:val="315"/>
        </w:trPr>
        <w:tc>
          <w:tcPr>
            <w:tcW w:w="1589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В % к налогам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12,2</w:t>
            </w:r>
          </w:p>
        </w:tc>
      </w:tr>
      <w:tr w:rsidR="005B5692" w:rsidRPr="005B5692" w:rsidTr="005B5692">
        <w:trPr>
          <w:trHeight w:val="315"/>
        </w:trPr>
        <w:tc>
          <w:tcPr>
            <w:tcW w:w="10288" w:type="dxa"/>
            <w:gridSpan w:val="10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Сыктывкар</w:t>
            </w:r>
          </w:p>
        </w:tc>
      </w:tr>
      <w:tr w:rsidR="005B5692" w:rsidRPr="005B5692" w:rsidTr="005B5692">
        <w:trPr>
          <w:trHeight w:val="315"/>
        </w:trPr>
        <w:tc>
          <w:tcPr>
            <w:tcW w:w="1589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1354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1555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1744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1252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1263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1135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1193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1356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100,2</w:t>
            </w:r>
          </w:p>
        </w:tc>
      </w:tr>
      <w:tr w:rsidR="005B5692" w:rsidRPr="005B5692" w:rsidTr="005B5692">
        <w:trPr>
          <w:trHeight w:val="315"/>
        </w:trPr>
        <w:tc>
          <w:tcPr>
            <w:tcW w:w="1589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В % к налогам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-9,7</w:t>
            </w:r>
          </w:p>
        </w:tc>
      </w:tr>
      <w:tr w:rsidR="005B5692" w:rsidRPr="005B5692" w:rsidTr="005B5692">
        <w:trPr>
          <w:trHeight w:val="315"/>
        </w:trPr>
        <w:tc>
          <w:tcPr>
            <w:tcW w:w="10288" w:type="dxa"/>
            <w:gridSpan w:val="10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Петрозаводск</w:t>
            </w:r>
          </w:p>
        </w:tc>
      </w:tr>
      <w:tr w:rsidR="005B5692" w:rsidRPr="005B5692" w:rsidTr="005B5692">
        <w:trPr>
          <w:trHeight w:val="315"/>
        </w:trPr>
        <w:tc>
          <w:tcPr>
            <w:tcW w:w="1589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1568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1311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1466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1121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1093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1144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1169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1354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86,3</w:t>
            </w:r>
          </w:p>
        </w:tc>
      </w:tr>
      <w:tr w:rsidR="005B5692" w:rsidRPr="005B5692" w:rsidTr="005B5692">
        <w:trPr>
          <w:trHeight w:val="315"/>
        </w:trPr>
        <w:tc>
          <w:tcPr>
            <w:tcW w:w="1589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В % к налогам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-15,9</w:t>
            </w:r>
          </w:p>
        </w:tc>
      </w:tr>
      <w:tr w:rsidR="00B031D4" w:rsidRPr="005B5692" w:rsidTr="00EC7AD7">
        <w:trPr>
          <w:trHeight w:val="315"/>
        </w:trPr>
        <w:tc>
          <w:tcPr>
            <w:tcW w:w="10288" w:type="dxa"/>
            <w:gridSpan w:val="10"/>
            <w:shd w:val="clear" w:color="auto" w:fill="auto"/>
            <w:vAlign w:val="center"/>
            <w:hideMark/>
          </w:tcPr>
          <w:p w:rsidR="00B031D4" w:rsidRPr="005B5692" w:rsidRDefault="00B031D4" w:rsidP="00EC7AD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Вологда</w:t>
            </w:r>
          </w:p>
        </w:tc>
      </w:tr>
      <w:tr w:rsidR="00B031D4" w:rsidRPr="005B5692" w:rsidTr="00EC7AD7">
        <w:trPr>
          <w:trHeight w:val="315"/>
        </w:trPr>
        <w:tc>
          <w:tcPr>
            <w:tcW w:w="1589" w:type="dxa"/>
            <w:shd w:val="clear" w:color="auto" w:fill="auto"/>
            <w:vAlign w:val="center"/>
            <w:hideMark/>
          </w:tcPr>
          <w:p w:rsidR="00B031D4" w:rsidRPr="005B5692" w:rsidRDefault="00B031D4" w:rsidP="00EC7AD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B031D4" w:rsidRPr="005B5692" w:rsidRDefault="00B031D4" w:rsidP="00EC7AD7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1850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31D4" w:rsidRPr="005B5692" w:rsidRDefault="00B031D4" w:rsidP="00EC7AD7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997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031D4" w:rsidRPr="005B5692" w:rsidRDefault="00B031D4" w:rsidP="00EC7AD7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1092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031D4" w:rsidRPr="005B5692" w:rsidRDefault="00B031D4" w:rsidP="00EC7AD7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873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31D4" w:rsidRPr="005B5692" w:rsidRDefault="00B031D4" w:rsidP="00EC7AD7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988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031D4" w:rsidRPr="005B5692" w:rsidRDefault="00B031D4" w:rsidP="00EC7AD7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B031D4" w:rsidRPr="005B5692" w:rsidRDefault="00B031D4" w:rsidP="00EC7AD7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031D4" w:rsidRPr="005B5692" w:rsidRDefault="00B031D4" w:rsidP="00EC7AD7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1468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B031D4" w:rsidRPr="005B5692" w:rsidRDefault="00B031D4" w:rsidP="00EC7AD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79,3</w:t>
            </w:r>
          </w:p>
        </w:tc>
      </w:tr>
      <w:tr w:rsidR="00B031D4" w:rsidRPr="005B5692" w:rsidTr="00EC7AD7">
        <w:trPr>
          <w:trHeight w:val="315"/>
        </w:trPr>
        <w:tc>
          <w:tcPr>
            <w:tcW w:w="1589" w:type="dxa"/>
            <w:shd w:val="clear" w:color="auto" w:fill="auto"/>
            <w:vAlign w:val="center"/>
            <w:hideMark/>
          </w:tcPr>
          <w:p w:rsidR="00B031D4" w:rsidRPr="005B5692" w:rsidRDefault="00B031D4" w:rsidP="00EC7AD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В % к налогам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B031D4" w:rsidRPr="005B5692" w:rsidRDefault="00B031D4" w:rsidP="00EC7AD7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31D4" w:rsidRPr="005B5692" w:rsidRDefault="00B031D4" w:rsidP="00EC7AD7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031D4" w:rsidRPr="005B5692" w:rsidRDefault="00B031D4" w:rsidP="00EC7AD7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031D4" w:rsidRPr="005B5692" w:rsidRDefault="00B031D4" w:rsidP="00EC7AD7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31D4" w:rsidRPr="005B5692" w:rsidRDefault="00B031D4" w:rsidP="00EC7AD7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031D4" w:rsidRPr="005B5692" w:rsidRDefault="00B031D4" w:rsidP="00EC7AD7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B031D4" w:rsidRPr="005B5692" w:rsidRDefault="00B031D4" w:rsidP="00EC7AD7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031D4" w:rsidRPr="005B5692" w:rsidRDefault="00B031D4" w:rsidP="00EC7AD7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B031D4" w:rsidRPr="005B5692" w:rsidRDefault="00B031D4" w:rsidP="00EC7AD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-6,2</w:t>
            </w:r>
          </w:p>
        </w:tc>
      </w:tr>
      <w:tr w:rsidR="005B5692" w:rsidRPr="005B5692" w:rsidTr="005B5692">
        <w:trPr>
          <w:trHeight w:val="315"/>
        </w:trPr>
        <w:tc>
          <w:tcPr>
            <w:tcW w:w="10288" w:type="dxa"/>
            <w:gridSpan w:val="10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Великий Новгород</w:t>
            </w:r>
          </w:p>
        </w:tc>
      </w:tr>
      <w:tr w:rsidR="005B5692" w:rsidRPr="005B5692" w:rsidTr="005B5692">
        <w:trPr>
          <w:trHeight w:val="330"/>
        </w:trPr>
        <w:tc>
          <w:tcPr>
            <w:tcW w:w="1589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1069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699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674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876" w:type="dxa"/>
            <w:shd w:val="clear" w:color="000000" w:fill="B3A384"/>
            <w:noWrap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sz w:val="22"/>
                <w:szCs w:val="22"/>
              </w:rPr>
            </w:pPr>
            <w:r w:rsidRPr="005B5692">
              <w:rPr>
                <w:sz w:val="22"/>
                <w:szCs w:val="22"/>
              </w:rPr>
              <w:t>729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785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73,4</w:t>
            </w:r>
          </w:p>
        </w:tc>
      </w:tr>
      <w:tr w:rsidR="005B5692" w:rsidRPr="005B5692" w:rsidTr="005B5692">
        <w:trPr>
          <w:trHeight w:val="315"/>
        </w:trPr>
        <w:tc>
          <w:tcPr>
            <w:tcW w:w="1589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В % к налогам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-13,2</w:t>
            </w:r>
          </w:p>
        </w:tc>
      </w:tr>
      <w:tr w:rsidR="005B5692" w:rsidRPr="005B5692" w:rsidTr="005B5692">
        <w:trPr>
          <w:trHeight w:val="315"/>
        </w:trPr>
        <w:tc>
          <w:tcPr>
            <w:tcW w:w="10288" w:type="dxa"/>
            <w:gridSpan w:val="10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по ГО СЗФО</w:t>
            </w:r>
          </w:p>
        </w:tc>
      </w:tr>
      <w:tr w:rsidR="005B5692" w:rsidRPr="005B5692" w:rsidTr="005B5692">
        <w:trPr>
          <w:trHeight w:val="315"/>
        </w:trPr>
        <w:tc>
          <w:tcPr>
            <w:tcW w:w="1589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15309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14630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15429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13281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13852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13572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14856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16911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110,5</w:t>
            </w:r>
          </w:p>
        </w:tc>
      </w:tr>
      <w:tr w:rsidR="005B5692" w:rsidRPr="005B5692" w:rsidTr="005B5692">
        <w:trPr>
          <w:trHeight w:val="315"/>
        </w:trPr>
        <w:tc>
          <w:tcPr>
            <w:tcW w:w="1589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В % к налогам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-10,5</w:t>
            </w:r>
          </w:p>
        </w:tc>
      </w:tr>
      <w:tr w:rsidR="005B5692" w:rsidRPr="005B5692" w:rsidTr="005B5692">
        <w:trPr>
          <w:trHeight w:val="315"/>
        </w:trPr>
        <w:tc>
          <w:tcPr>
            <w:tcW w:w="10288" w:type="dxa"/>
            <w:gridSpan w:val="10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по ГО РФ</w:t>
            </w:r>
          </w:p>
        </w:tc>
      </w:tr>
      <w:tr w:rsidR="005B5692" w:rsidRPr="005B5692" w:rsidTr="005B5692">
        <w:trPr>
          <w:trHeight w:val="315"/>
        </w:trPr>
        <w:tc>
          <w:tcPr>
            <w:tcW w:w="1589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Млрд. руб.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361947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376909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420282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337001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338602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353027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sz w:val="22"/>
                <w:szCs w:val="22"/>
              </w:rPr>
            </w:pPr>
            <w:r w:rsidRPr="005B5692">
              <w:rPr>
                <w:sz w:val="22"/>
                <w:szCs w:val="22"/>
              </w:rPr>
              <w:t>374821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sz w:val="22"/>
                <w:szCs w:val="22"/>
              </w:rPr>
            </w:pPr>
            <w:r w:rsidRPr="005B5692">
              <w:rPr>
                <w:sz w:val="22"/>
                <w:szCs w:val="22"/>
              </w:rPr>
              <w:t>440319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121,7</w:t>
            </w:r>
          </w:p>
        </w:tc>
      </w:tr>
      <w:tr w:rsidR="005B5692" w:rsidRPr="005B5692" w:rsidTr="005B5692">
        <w:trPr>
          <w:trHeight w:val="330"/>
        </w:trPr>
        <w:tc>
          <w:tcPr>
            <w:tcW w:w="1589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В % к налогам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color w:val="000000"/>
                <w:sz w:val="22"/>
                <w:szCs w:val="22"/>
              </w:rPr>
            </w:pPr>
            <w:r w:rsidRPr="005B5692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B5692" w:rsidRPr="005B5692" w:rsidRDefault="005B5692" w:rsidP="005B56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B5692">
              <w:rPr>
                <w:rFonts w:eastAsia="Times New Roman"/>
                <w:color w:val="000000"/>
                <w:sz w:val="22"/>
                <w:szCs w:val="22"/>
              </w:rPr>
              <w:t>-5,9</w:t>
            </w:r>
          </w:p>
        </w:tc>
      </w:tr>
    </w:tbl>
    <w:p w:rsidR="00580B84" w:rsidRPr="002016EA" w:rsidRDefault="00580B84" w:rsidP="002661D7">
      <w:pPr>
        <w:spacing w:before="120"/>
        <w:jc w:val="both"/>
      </w:pPr>
      <w:r w:rsidRPr="002016EA">
        <w:t>Источник: рассчитано автором по данным отчетов об исполнении бюджетов городских ок</w:t>
      </w:r>
      <w:r>
        <w:t>ругов, отчетности Федерального К</w:t>
      </w:r>
      <w:r w:rsidRPr="002016EA">
        <w:t>азначейства России</w:t>
      </w:r>
      <w:r>
        <w:t>, Росстата, ФНС России</w:t>
      </w:r>
      <w:r w:rsidRPr="002016EA">
        <w:t>.</w:t>
      </w:r>
    </w:p>
    <w:p w:rsidR="00580B84" w:rsidRDefault="00580B84" w:rsidP="002661D7">
      <w:pPr>
        <w:ind w:firstLine="709"/>
        <w:jc w:val="both"/>
        <w:rPr>
          <w:spacing w:val="-4"/>
          <w:sz w:val="28"/>
          <w:szCs w:val="28"/>
        </w:rPr>
      </w:pPr>
    </w:p>
    <w:p w:rsidR="00580B84" w:rsidRDefault="000D4454" w:rsidP="002661D7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Решающим фактором сокращения НДФЛ стали корректировки бюджетного законодательства</w:t>
      </w:r>
      <w:r w:rsidR="00BC36DD" w:rsidRPr="00BC36DD">
        <w:rPr>
          <w:spacing w:val="-4"/>
          <w:sz w:val="28"/>
          <w:szCs w:val="28"/>
        </w:rPr>
        <w:t xml:space="preserve"> [</w:t>
      </w:r>
      <w:r w:rsidR="00173FC2" w:rsidRPr="00173FC2">
        <w:rPr>
          <w:spacing w:val="-4"/>
          <w:sz w:val="28"/>
          <w:szCs w:val="28"/>
        </w:rPr>
        <w:t>9</w:t>
      </w:r>
      <w:r w:rsidR="00BC36DD" w:rsidRPr="00BC36DD">
        <w:rPr>
          <w:spacing w:val="-4"/>
          <w:sz w:val="28"/>
          <w:szCs w:val="28"/>
        </w:rPr>
        <w:t>]</w:t>
      </w:r>
      <w:r>
        <w:rPr>
          <w:spacing w:val="-4"/>
          <w:sz w:val="28"/>
          <w:szCs w:val="28"/>
        </w:rPr>
        <w:t xml:space="preserve">, которые затронули механизм перераспределения налогов по уровням бюджетной системы. Так, </w:t>
      </w:r>
      <w:r w:rsidR="00580B84">
        <w:rPr>
          <w:spacing w:val="-4"/>
          <w:sz w:val="28"/>
          <w:szCs w:val="28"/>
        </w:rPr>
        <w:t xml:space="preserve">нормативы отчислений </w:t>
      </w:r>
      <w:r>
        <w:rPr>
          <w:spacing w:val="-4"/>
          <w:sz w:val="28"/>
          <w:szCs w:val="28"/>
        </w:rPr>
        <w:t>данного налога</w:t>
      </w:r>
      <w:r w:rsidR="00580B84">
        <w:rPr>
          <w:spacing w:val="-4"/>
          <w:sz w:val="28"/>
          <w:szCs w:val="28"/>
        </w:rPr>
        <w:t xml:space="preserve"> в бюджеты городских округов были снижены с 30% в 2011 г</w:t>
      </w:r>
      <w:r>
        <w:rPr>
          <w:spacing w:val="-4"/>
          <w:sz w:val="28"/>
          <w:szCs w:val="28"/>
        </w:rPr>
        <w:t>оду</w:t>
      </w:r>
      <w:r w:rsidR="00580B84">
        <w:rPr>
          <w:spacing w:val="-4"/>
          <w:sz w:val="28"/>
          <w:szCs w:val="28"/>
        </w:rPr>
        <w:t xml:space="preserve"> до 20% в 2012–2013 гг. и до 15% </w:t>
      </w:r>
      <w:r>
        <w:rPr>
          <w:spacing w:val="-4"/>
          <w:sz w:val="28"/>
          <w:szCs w:val="28"/>
        </w:rPr>
        <w:t>с</w:t>
      </w:r>
      <w:r w:rsidR="00580B84">
        <w:rPr>
          <w:spacing w:val="-4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580B84">
          <w:rPr>
            <w:spacing w:val="-4"/>
            <w:sz w:val="28"/>
            <w:szCs w:val="28"/>
          </w:rPr>
          <w:t>2014 г</w:t>
        </w:r>
        <w:r>
          <w:rPr>
            <w:spacing w:val="-4"/>
            <w:sz w:val="28"/>
            <w:szCs w:val="28"/>
          </w:rPr>
          <w:t>ода</w:t>
        </w:r>
      </w:smartTag>
      <w:r w:rsidR="00580B84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r w:rsidR="00580B84">
        <w:rPr>
          <w:spacing w:val="-4"/>
          <w:sz w:val="28"/>
          <w:szCs w:val="28"/>
        </w:rPr>
        <w:t>Вместе с тем следует признать, что</w:t>
      </w:r>
      <w:r>
        <w:rPr>
          <w:spacing w:val="-4"/>
          <w:sz w:val="28"/>
          <w:szCs w:val="28"/>
        </w:rPr>
        <w:t xml:space="preserve"> органы государственной власти не </w:t>
      </w:r>
      <w:r w:rsidR="00580B84">
        <w:rPr>
          <w:spacing w:val="-4"/>
          <w:sz w:val="28"/>
          <w:szCs w:val="28"/>
        </w:rPr>
        <w:t xml:space="preserve">всех </w:t>
      </w:r>
      <w:r>
        <w:rPr>
          <w:spacing w:val="-4"/>
          <w:sz w:val="28"/>
          <w:szCs w:val="28"/>
        </w:rPr>
        <w:t xml:space="preserve">северо-западных </w:t>
      </w:r>
      <w:r w:rsidR="00580B84">
        <w:rPr>
          <w:spacing w:val="-4"/>
          <w:sz w:val="28"/>
          <w:szCs w:val="28"/>
        </w:rPr>
        <w:t>регион</w:t>
      </w:r>
      <w:r>
        <w:rPr>
          <w:spacing w:val="-4"/>
          <w:sz w:val="28"/>
          <w:szCs w:val="28"/>
        </w:rPr>
        <w:t>ов</w:t>
      </w:r>
      <w:r w:rsidR="00580B8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установили минимальный </w:t>
      </w:r>
      <w:r w:rsidR="00580B84">
        <w:rPr>
          <w:spacing w:val="-4"/>
          <w:sz w:val="28"/>
          <w:szCs w:val="28"/>
        </w:rPr>
        <w:t>15%</w:t>
      </w:r>
      <w:r>
        <w:rPr>
          <w:spacing w:val="-4"/>
          <w:sz w:val="28"/>
          <w:szCs w:val="28"/>
        </w:rPr>
        <w:t>-</w:t>
      </w:r>
      <w:proofErr w:type="spellStart"/>
      <w:r>
        <w:rPr>
          <w:spacing w:val="-4"/>
          <w:sz w:val="28"/>
          <w:szCs w:val="28"/>
        </w:rPr>
        <w:t>ный</w:t>
      </w:r>
      <w:proofErr w:type="spellEnd"/>
      <w:r w:rsidR="00580B84">
        <w:rPr>
          <w:spacing w:val="-4"/>
          <w:sz w:val="28"/>
          <w:szCs w:val="28"/>
        </w:rPr>
        <w:t xml:space="preserve"> норматив отчислений НДФЛ в бюджеты городов, поэтому в территориальном разрезе наблюдался значительный разрыв в динамике поступлений налога.</w:t>
      </w:r>
    </w:p>
    <w:p w:rsidR="004E2749" w:rsidRDefault="004E2749" w:rsidP="00266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 Вологде, несмотря на то, что за период с 2011-201</w:t>
      </w:r>
      <w:r w:rsidR="00B031D4">
        <w:rPr>
          <w:sz w:val="28"/>
          <w:szCs w:val="28"/>
        </w:rPr>
        <w:t>8</w:t>
      </w:r>
      <w:r>
        <w:rPr>
          <w:sz w:val="28"/>
          <w:szCs w:val="28"/>
        </w:rPr>
        <w:t xml:space="preserve"> гг. размер средней заработной платы работающих в городских организациях вырос, роль основного </w:t>
      </w:r>
      <w:proofErr w:type="spellStart"/>
      <w:r>
        <w:rPr>
          <w:sz w:val="28"/>
          <w:szCs w:val="28"/>
        </w:rPr>
        <w:t>бюджетообразующего</w:t>
      </w:r>
      <w:proofErr w:type="spellEnd"/>
      <w:r>
        <w:rPr>
          <w:sz w:val="28"/>
          <w:szCs w:val="28"/>
        </w:rPr>
        <w:t xml:space="preserve"> налога на доходы физических лиц снизилась Межбюджетные корректировки привели к тому, что в 2016 году из 5,6 млрд. рублей, собранных с работников предприятий и организаций </w:t>
      </w:r>
      <w:r w:rsidR="00F820C7">
        <w:rPr>
          <w:sz w:val="28"/>
          <w:szCs w:val="28"/>
        </w:rPr>
        <w:t>Вологды</w:t>
      </w:r>
      <w:r>
        <w:rPr>
          <w:sz w:val="28"/>
          <w:szCs w:val="28"/>
        </w:rPr>
        <w:t>, в городской бюджет попали только 900 млн. рублей. Всего за период с 2011 года фактические потери городской казны составили около 4</w:t>
      </w:r>
      <w:r w:rsidR="00F820C7">
        <w:rPr>
          <w:sz w:val="28"/>
          <w:szCs w:val="28"/>
        </w:rPr>
        <w:t> </w:t>
      </w:r>
      <w:r>
        <w:rPr>
          <w:sz w:val="28"/>
          <w:szCs w:val="28"/>
        </w:rPr>
        <w:t>млрд. рублей, что эквивалентно 34% всех налоговых поступлений.</w:t>
      </w:r>
    </w:p>
    <w:p w:rsidR="004E2749" w:rsidRDefault="004E2749" w:rsidP="002661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Внесенные межбюджетные распределения имели своей целью поддержку районных и поселенческих бюджетов. Н.В. </w:t>
      </w:r>
      <w:proofErr w:type="spellStart"/>
      <w:r>
        <w:rPr>
          <w:sz w:val="28"/>
          <w:szCs w:val="28"/>
        </w:rPr>
        <w:t>Зубаревич</w:t>
      </w:r>
      <w:proofErr w:type="spellEnd"/>
      <w:r w:rsidR="00BC36DD" w:rsidRPr="00BC36DD">
        <w:rPr>
          <w:sz w:val="28"/>
          <w:szCs w:val="28"/>
        </w:rPr>
        <w:t xml:space="preserve"> </w:t>
      </w:r>
      <w:r>
        <w:rPr>
          <w:sz w:val="28"/>
          <w:szCs w:val="28"/>
        </w:rPr>
        <w:t>отметила</w:t>
      </w:r>
      <w:r w:rsidR="00F820C7">
        <w:rPr>
          <w:sz w:val="28"/>
          <w:szCs w:val="28"/>
        </w:rPr>
        <w:t xml:space="preserve">, что </w:t>
      </w:r>
      <w:r w:rsidRPr="004E2749">
        <w:rPr>
          <w:sz w:val="28"/>
          <w:szCs w:val="28"/>
        </w:rPr>
        <w:t>сохраняющийся уравнительный подход к развитию пространства</w:t>
      </w:r>
      <w:r>
        <w:rPr>
          <w:sz w:val="28"/>
          <w:szCs w:val="28"/>
        </w:rPr>
        <w:t xml:space="preserve">, подразумевающий необходимость городов делиться с периферией препятствует проведению политики, </w:t>
      </w:r>
      <w:r w:rsidRPr="004E2749">
        <w:rPr>
          <w:sz w:val="28"/>
          <w:szCs w:val="28"/>
        </w:rPr>
        <w:t>направленной на системную поддержку модернизации экономики и человеческого капитала российских городов</w:t>
      </w:r>
      <w:r w:rsidR="00173FC2" w:rsidRPr="00173FC2">
        <w:rPr>
          <w:sz w:val="28"/>
          <w:szCs w:val="28"/>
        </w:rPr>
        <w:t xml:space="preserve"> </w:t>
      </w:r>
      <w:r w:rsidR="00173FC2" w:rsidRPr="00BC36DD">
        <w:rPr>
          <w:spacing w:val="-4"/>
          <w:sz w:val="28"/>
          <w:szCs w:val="28"/>
        </w:rPr>
        <w:t>[</w:t>
      </w:r>
      <w:r w:rsidR="00173FC2" w:rsidRPr="00173FC2">
        <w:rPr>
          <w:spacing w:val="-4"/>
          <w:sz w:val="28"/>
          <w:szCs w:val="28"/>
        </w:rPr>
        <w:t>6</w:t>
      </w:r>
      <w:r w:rsidR="00173FC2" w:rsidRPr="00BC36DD">
        <w:rPr>
          <w:spacing w:val="-4"/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F820C7" w:rsidRDefault="00F820C7" w:rsidP="00266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выявления динамики </w:t>
      </w:r>
      <w:proofErr w:type="spellStart"/>
      <w:r>
        <w:rPr>
          <w:sz w:val="28"/>
          <w:szCs w:val="28"/>
        </w:rPr>
        <w:t>соразвития</w:t>
      </w:r>
      <w:proofErr w:type="spellEnd"/>
      <w:r>
        <w:rPr>
          <w:sz w:val="28"/>
          <w:szCs w:val="28"/>
        </w:rPr>
        <w:t xml:space="preserve"> региональных центров и периферии региона целесообразно рассчитать относительную длину разности между векторами уровня </w:t>
      </w:r>
      <w:proofErr w:type="spellStart"/>
      <w:r>
        <w:rPr>
          <w:sz w:val="28"/>
          <w:szCs w:val="28"/>
        </w:rPr>
        <w:t>подушевой</w:t>
      </w:r>
      <w:proofErr w:type="spellEnd"/>
      <w:r>
        <w:rPr>
          <w:sz w:val="28"/>
          <w:szCs w:val="28"/>
        </w:rPr>
        <w:t xml:space="preserve"> бюджетной обеспеченности. Наиболее точный результат даст применение </w:t>
      </w:r>
      <w:r w:rsidR="00FF5CC9">
        <w:rPr>
          <w:sz w:val="28"/>
          <w:szCs w:val="28"/>
        </w:rPr>
        <w:t xml:space="preserve">разработанного нами на основе </w:t>
      </w:r>
      <w:proofErr w:type="spellStart"/>
      <w:r w:rsidR="00FF5CC9" w:rsidRPr="00A53480">
        <w:rPr>
          <w:sz w:val="28"/>
          <w:szCs w:val="28"/>
        </w:rPr>
        <w:t>Herfindahl-Hirschman</w:t>
      </w:r>
      <w:proofErr w:type="spellEnd"/>
      <w:r w:rsidR="00FF5CC9" w:rsidRPr="00A53480">
        <w:rPr>
          <w:sz w:val="28"/>
          <w:szCs w:val="28"/>
        </w:rPr>
        <w:t xml:space="preserve"> </w:t>
      </w:r>
      <w:proofErr w:type="spellStart"/>
      <w:r w:rsidR="00FF5CC9" w:rsidRPr="00A53480">
        <w:rPr>
          <w:sz w:val="28"/>
          <w:szCs w:val="28"/>
        </w:rPr>
        <w:t>index</w:t>
      </w:r>
      <w:proofErr w:type="spellEnd"/>
      <w:r w:rsidR="00FF5CC9">
        <w:rPr>
          <w:sz w:val="28"/>
          <w:szCs w:val="28"/>
        </w:rPr>
        <w:t xml:space="preserve"> и </w:t>
      </w:r>
      <w:proofErr w:type="spellStart"/>
      <w:r w:rsidR="00FF5CC9" w:rsidRPr="00A53480">
        <w:rPr>
          <w:sz w:val="28"/>
          <w:szCs w:val="28"/>
        </w:rPr>
        <w:t>Theil</w:t>
      </w:r>
      <w:proofErr w:type="spellEnd"/>
      <w:r w:rsidR="00FF5CC9">
        <w:rPr>
          <w:sz w:val="28"/>
          <w:szCs w:val="28"/>
        </w:rPr>
        <w:t xml:space="preserve"> </w:t>
      </w:r>
      <w:proofErr w:type="spellStart"/>
      <w:r w:rsidR="00FF5CC9" w:rsidRPr="00A53480">
        <w:rPr>
          <w:sz w:val="28"/>
          <w:szCs w:val="28"/>
        </w:rPr>
        <w:t>index</w:t>
      </w:r>
      <w:proofErr w:type="spellEnd"/>
      <w:r w:rsidR="00FF5CC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ндекс </w:t>
      </w:r>
      <w:proofErr w:type="spellStart"/>
      <w:r>
        <w:rPr>
          <w:sz w:val="28"/>
          <w:szCs w:val="28"/>
        </w:rPr>
        <w:t>центрорегиональной</w:t>
      </w:r>
      <w:proofErr w:type="spellEnd"/>
      <w:r>
        <w:rPr>
          <w:sz w:val="28"/>
          <w:szCs w:val="28"/>
        </w:rPr>
        <w:t xml:space="preserve"> дифференциации (</w:t>
      </w:r>
      <w:r w:rsidR="00FF5CC9">
        <w:rPr>
          <w:sz w:val="28"/>
          <w:szCs w:val="28"/>
          <w:lang w:val="en-US"/>
        </w:rPr>
        <w:t>I</w:t>
      </w:r>
      <w:r w:rsidR="00FF5CC9" w:rsidRPr="00FF5CC9">
        <w:rPr>
          <w:sz w:val="28"/>
          <w:szCs w:val="28"/>
          <w:lang w:val="en-US"/>
        </w:rPr>
        <w:t>ndex</w:t>
      </w:r>
      <w:r w:rsidR="00FF5CC9" w:rsidRPr="00FF5CC9">
        <w:rPr>
          <w:sz w:val="28"/>
          <w:szCs w:val="28"/>
        </w:rPr>
        <w:t xml:space="preserve"> </w:t>
      </w:r>
      <w:r w:rsidR="00FF5CC9" w:rsidRPr="00FF5CC9">
        <w:rPr>
          <w:sz w:val="28"/>
          <w:szCs w:val="28"/>
          <w:lang w:val="en-US"/>
        </w:rPr>
        <w:t>of</w:t>
      </w:r>
      <w:r w:rsidR="00FF5CC9" w:rsidRPr="00FF5CC9">
        <w:rPr>
          <w:sz w:val="28"/>
          <w:szCs w:val="28"/>
        </w:rPr>
        <w:t xml:space="preserve"> </w:t>
      </w:r>
      <w:proofErr w:type="spellStart"/>
      <w:r w:rsidR="00FF5CC9" w:rsidRPr="00FF5CC9">
        <w:rPr>
          <w:sz w:val="28"/>
          <w:szCs w:val="28"/>
          <w:lang w:val="en-US"/>
        </w:rPr>
        <w:t>centroregional</w:t>
      </w:r>
      <w:proofErr w:type="spellEnd"/>
      <w:r w:rsidR="00FF5CC9" w:rsidRPr="00FF5CC9">
        <w:rPr>
          <w:sz w:val="28"/>
          <w:szCs w:val="28"/>
        </w:rPr>
        <w:t xml:space="preserve"> </w:t>
      </w:r>
      <w:r w:rsidR="00FF5CC9" w:rsidRPr="00FF5CC9">
        <w:rPr>
          <w:sz w:val="28"/>
          <w:szCs w:val="28"/>
          <w:lang w:val="en-US"/>
        </w:rPr>
        <w:t>differentiation</w:t>
      </w:r>
      <w:r w:rsidRPr="00196CD3">
        <w:rPr>
          <w:sz w:val="28"/>
          <w:szCs w:val="28"/>
        </w:rPr>
        <w:t>)</w:t>
      </w:r>
      <w:r w:rsidR="00FF5CC9">
        <w:rPr>
          <w:sz w:val="28"/>
          <w:szCs w:val="28"/>
        </w:rPr>
        <w:t>,</w:t>
      </w:r>
      <w:r>
        <w:rPr>
          <w:sz w:val="28"/>
          <w:szCs w:val="28"/>
        </w:rPr>
        <w:t xml:space="preserve"> поскольку он учитывает не только абсолютные среднедушевые показатели, но и темпы роста уровня бюджетной обеспеченности. В нашем исследовании данное условие крайне важно, так как города с наименьшими среднедушевыми показателями могут характеризоваться более высокими показателями прироста. </w:t>
      </w:r>
    </w:p>
    <w:p w:rsidR="00F820C7" w:rsidRPr="00196CD3" w:rsidRDefault="003C5FB2" w:rsidP="002661D7">
      <w:pPr>
        <w:ind w:firstLine="709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ICRD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BP 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=√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[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(BP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it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RC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BP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it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P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BP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it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RC</m:t>
                              </m:r>
                            </m:sup>
                          </m:sSubSup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BP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t-1</m:t>
                                  </m:r>
                                </m:e>
                              </m:d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RC</m:t>
                              </m:r>
                            </m:sup>
                          </m:sSubSup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BP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jit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P</m:t>
                              </m:r>
                            </m:sup>
                          </m:sSubSup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BP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ji(t-1)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P</m:t>
                              </m:r>
                            </m:sup>
                          </m:sSubSup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] </m:t>
                  </m:r>
                </m:e>
              </m:nary>
            </m:num>
            <m:den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[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(BP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jit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P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BP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jit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P</m:t>
                              </m:r>
                            </m:sup>
                          </m:sSubSup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BP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ji(t-1)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P</m:t>
                              </m:r>
                            </m:sup>
                          </m:sSubSup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]</m:t>
                  </m:r>
                </m:e>
              </m:nary>
            </m:den>
          </m:f>
        </m:oMath>
      </m:oMathPara>
    </w:p>
    <w:p w:rsidR="00F820C7" w:rsidRDefault="00F820C7" w:rsidP="00266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ICRD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BP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</m:oMath>
      <w:r>
        <w:rPr>
          <w:sz w:val="28"/>
          <w:szCs w:val="28"/>
        </w:rPr>
        <w:t>– инд</w:t>
      </w:r>
      <w:proofErr w:type="spellStart"/>
      <w:r w:rsidR="00FF5CC9">
        <w:rPr>
          <w:sz w:val="28"/>
          <w:szCs w:val="28"/>
        </w:rPr>
        <w:t>екс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центрорегиональной</w:t>
      </w:r>
      <w:proofErr w:type="spellEnd"/>
      <w:r>
        <w:rPr>
          <w:sz w:val="28"/>
          <w:szCs w:val="28"/>
        </w:rPr>
        <w:t xml:space="preserve"> дифференциации</w:t>
      </w:r>
      <w:r w:rsidRPr="000F6EBD">
        <w:rPr>
          <w:sz w:val="28"/>
          <w:szCs w:val="28"/>
        </w:rPr>
        <w:t xml:space="preserve"> </w:t>
      </w:r>
      <w:r>
        <w:rPr>
          <w:sz w:val="28"/>
          <w:szCs w:val="28"/>
        </w:rPr>
        <w:t>по уровню бюджетной обеспеченности;</w:t>
      </w:r>
    </w:p>
    <w:p w:rsidR="00F820C7" w:rsidRPr="005354B5" w:rsidRDefault="003C5FB2" w:rsidP="002661D7">
      <w:pPr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it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RC</m:t>
            </m:r>
          </m:sup>
        </m:sSubSup>
      </m:oMath>
      <w:r w:rsidR="00F820C7">
        <w:rPr>
          <w:sz w:val="28"/>
          <w:szCs w:val="28"/>
        </w:rPr>
        <w:t xml:space="preserve"> – среднедушевой уров</w:t>
      </w:r>
      <w:proofErr w:type="spellStart"/>
      <w:r w:rsidR="00FF5CC9">
        <w:rPr>
          <w:sz w:val="28"/>
          <w:szCs w:val="28"/>
        </w:rPr>
        <w:t>ень</w:t>
      </w:r>
      <w:proofErr w:type="spellEnd"/>
      <w:r w:rsidR="00F820C7">
        <w:rPr>
          <w:sz w:val="28"/>
          <w:szCs w:val="28"/>
        </w:rPr>
        <w:t xml:space="preserve"> бюджетной обеспеченности населения регионального центра </w:t>
      </w:r>
      <w:proofErr w:type="spellStart"/>
      <w:r w:rsidR="00F820C7" w:rsidRPr="005354B5">
        <w:rPr>
          <w:i/>
          <w:sz w:val="28"/>
          <w:szCs w:val="28"/>
          <w:lang w:val="en-US"/>
        </w:rPr>
        <w:t>i</w:t>
      </w:r>
      <w:proofErr w:type="spellEnd"/>
      <w:r w:rsidR="00F820C7">
        <w:rPr>
          <w:sz w:val="28"/>
          <w:szCs w:val="28"/>
        </w:rPr>
        <w:t xml:space="preserve"> собственными доходами в году </w:t>
      </w:r>
      <w:r w:rsidR="00F820C7" w:rsidRPr="005354B5">
        <w:rPr>
          <w:i/>
          <w:sz w:val="28"/>
          <w:szCs w:val="28"/>
          <w:lang w:val="en-US"/>
        </w:rPr>
        <w:t>t</w:t>
      </w:r>
      <w:r w:rsidR="00F820C7">
        <w:rPr>
          <w:sz w:val="28"/>
          <w:szCs w:val="28"/>
        </w:rPr>
        <w:t>;</w:t>
      </w:r>
    </w:p>
    <w:p w:rsidR="00F820C7" w:rsidRDefault="003C5FB2" w:rsidP="002661D7">
      <w:pPr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it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P</m:t>
            </m:r>
          </m:sup>
        </m:sSubSup>
      </m:oMath>
      <w:r w:rsidR="00F820C7">
        <w:rPr>
          <w:sz w:val="28"/>
          <w:szCs w:val="28"/>
        </w:rPr>
        <w:t xml:space="preserve"> – </w:t>
      </w:r>
      <w:r w:rsidR="00FF5CC9">
        <w:rPr>
          <w:sz w:val="28"/>
          <w:szCs w:val="28"/>
        </w:rPr>
        <w:t xml:space="preserve">среднедушевой уровень </w:t>
      </w:r>
      <w:r w:rsidR="00F820C7">
        <w:rPr>
          <w:sz w:val="28"/>
          <w:szCs w:val="28"/>
        </w:rPr>
        <w:t xml:space="preserve">бюджетной обеспеченности населения региона </w:t>
      </w:r>
      <w:r w:rsidR="00FF5CC9" w:rsidRPr="00FF5CC9">
        <w:rPr>
          <w:i/>
          <w:sz w:val="28"/>
          <w:szCs w:val="28"/>
          <w:lang w:val="en-US"/>
        </w:rPr>
        <w:t>j</w:t>
      </w:r>
      <w:r w:rsidR="00FF5CC9" w:rsidRPr="00FF5CC9">
        <w:rPr>
          <w:sz w:val="28"/>
          <w:szCs w:val="28"/>
        </w:rPr>
        <w:t xml:space="preserve"> </w:t>
      </w:r>
      <w:r w:rsidR="00F820C7">
        <w:rPr>
          <w:sz w:val="28"/>
          <w:szCs w:val="28"/>
        </w:rPr>
        <w:t xml:space="preserve">без регионального центра </w:t>
      </w:r>
      <w:proofErr w:type="spellStart"/>
      <w:r w:rsidR="00F820C7" w:rsidRPr="005354B5">
        <w:rPr>
          <w:i/>
          <w:sz w:val="28"/>
          <w:szCs w:val="28"/>
          <w:lang w:val="en-US"/>
        </w:rPr>
        <w:t>i</w:t>
      </w:r>
      <w:proofErr w:type="spellEnd"/>
      <w:r w:rsidR="00F820C7">
        <w:rPr>
          <w:sz w:val="28"/>
          <w:szCs w:val="28"/>
        </w:rPr>
        <w:t xml:space="preserve"> собственными доходами в году </w:t>
      </w:r>
      <w:r w:rsidR="00F820C7" w:rsidRPr="005354B5">
        <w:rPr>
          <w:i/>
          <w:sz w:val="28"/>
          <w:szCs w:val="28"/>
          <w:lang w:val="en-US"/>
        </w:rPr>
        <w:t>t</w:t>
      </w:r>
      <w:r w:rsidR="00F820C7">
        <w:rPr>
          <w:sz w:val="28"/>
          <w:szCs w:val="28"/>
        </w:rPr>
        <w:t>;</w:t>
      </w:r>
    </w:p>
    <w:p w:rsidR="00F820C7" w:rsidRPr="005354B5" w:rsidRDefault="003C5FB2" w:rsidP="002661D7">
      <w:pPr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i(t-1)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RC</m:t>
            </m:r>
          </m:sup>
        </m:sSubSup>
      </m:oMath>
      <w:r w:rsidR="00F820C7">
        <w:rPr>
          <w:sz w:val="28"/>
          <w:szCs w:val="28"/>
        </w:rPr>
        <w:t xml:space="preserve"> – </w:t>
      </w:r>
      <w:r w:rsidR="00FF5CC9">
        <w:rPr>
          <w:sz w:val="28"/>
          <w:szCs w:val="28"/>
        </w:rPr>
        <w:t xml:space="preserve">среднедушевой уровень </w:t>
      </w:r>
      <w:r w:rsidR="00F820C7">
        <w:rPr>
          <w:sz w:val="28"/>
          <w:szCs w:val="28"/>
        </w:rPr>
        <w:t xml:space="preserve">бюджетной обеспеченности населения регионального центра </w:t>
      </w:r>
      <w:proofErr w:type="spellStart"/>
      <w:r w:rsidR="00F820C7" w:rsidRPr="005354B5">
        <w:rPr>
          <w:i/>
          <w:sz w:val="28"/>
          <w:szCs w:val="28"/>
          <w:lang w:val="en-US"/>
        </w:rPr>
        <w:t>i</w:t>
      </w:r>
      <w:proofErr w:type="spellEnd"/>
      <w:r w:rsidR="00F820C7">
        <w:rPr>
          <w:sz w:val="28"/>
          <w:szCs w:val="28"/>
        </w:rPr>
        <w:t xml:space="preserve"> собственными доходами в году </w:t>
      </w:r>
      <w:r w:rsidR="00F820C7" w:rsidRPr="005354B5">
        <w:rPr>
          <w:i/>
          <w:sz w:val="28"/>
          <w:szCs w:val="28"/>
          <w:lang w:val="en-US"/>
        </w:rPr>
        <w:t>t</w:t>
      </w:r>
      <w:r w:rsidR="00F820C7">
        <w:rPr>
          <w:i/>
          <w:sz w:val="28"/>
          <w:szCs w:val="28"/>
        </w:rPr>
        <w:t>-1</w:t>
      </w:r>
      <w:r w:rsidR="00F820C7">
        <w:rPr>
          <w:sz w:val="28"/>
          <w:szCs w:val="28"/>
        </w:rPr>
        <w:t>;</w:t>
      </w:r>
    </w:p>
    <w:p w:rsidR="00F820C7" w:rsidRPr="005354B5" w:rsidRDefault="003C5FB2" w:rsidP="002661D7">
      <w:pPr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-1)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P</m:t>
            </m:r>
          </m:sup>
        </m:sSubSup>
      </m:oMath>
      <w:r w:rsidR="00F820C7">
        <w:rPr>
          <w:sz w:val="28"/>
          <w:szCs w:val="28"/>
        </w:rPr>
        <w:t xml:space="preserve"> – </w:t>
      </w:r>
      <w:r w:rsidR="00FF5CC9">
        <w:rPr>
          <w:sz w:val="28"/>
          <w:szCs w:val="28"/>
        </w:rPr>
        <w:t xml:space="preserve">среднедушевой уровень </w:t>
      </w:r>
      <w:r w:rsidR="00F820C7">
        <w:rPr>
          <w:sz w:val="28"/>
          <w:szCs w:val="28"/>
        </w:rPr>
        <w:t xml:space="preserve">бюджетной обеспеченности населения региона </w:t>
      </w:r>
      <w:r w:rsidR="00FF5CC9" w:rsidRPr="00FF5CC9">
        <w:rPr>
          <w:i/>
          <w:sz w:val="28"/>
          <w:szCs w:val="28"/>
          <w:lang w:val="en-US"/>
        </w:rPr>
        <w:t>j</w:t>
      </w:r>
      <w:r w:rsidR="00FF5CC9">
        <w:rPr>
          <w:sz w:val="28"/>
          <w:szCs w:val="28"/>
        </w:rPr>
        <w:t xml:space="preserve"> </w:t>
      </w:r>
      <w:r w:rsidR="00F820C7">
        <w:rPr>
          <w:sz w:val="28"/>
          <w:szCs w:val="28"/>
        </w:rPr>
        <w:t xml:space="preserve">без регионального центра </w:t>
      </w:r>
      <w:proofErr w:type="spellStart"/>
      <w:r w:rsidR="00F820C7" w:rsidRPr="005354B5">
        <w:rPr>
          <w:i/>
          <w:sz w:val="28"/>
          <w:szCs w:val="28"/>
          <w:lang w:val="en-US"/>
        </w:rPr>
        <w:t>i</w:t>
      </w:r>
      <w:proofErr w:type="spellEnd"/>
      <w:r w:rsidR="00F820C7">
        <w:rPr>
          <w:sz w:val="28"/>
          <w:szCs w:val="28"/>
        </w:rPr>
        <w:t xml:space="preserve"> собственными доходами в году </w:t>
      </w:r>
      <w:r w:rsidR="00F820C7" w:rsidRPr="005354B5">
        <w:rPr>
          <w:i/>
          <w:sz w:val="28"/>
          <w:szCs w:val="28"/>
          <w:lang w:val="en-US"/>
        </w:rPr>
        <w:t>t</w:t>
      </w:r>
      <w:r w:rsidR="00F820C7">
        <w:rPr>
          <w:i/>
          <w:sz w:val="28"/>
          <w:szCs w:val="28"/>
        </w:rPr>
        <w:t>-1</w:t>
      </w:r>
      <w:r w:rsidR="00F820C7">
        <w:rPr>
          <w:sz w:val="28"/>
          <w:szCs w:val="28"/>
        </w:rPr>
        <w:t>.</w:t>
      </w:r>
    </w:p>
    <w:p w:rsidR="00F820C7" w:rsidRDefault="00FF5CC9" w:rsidP="00266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данного показателя на </w:t>
      </w:r>
      <w:r w:rsidR="00B031D4">
        <w:rPr>
          <w:sz w:val="28"/>
          <w:szCs w:val="28"/>
        </w:rPr>
        <w:t xml:space="preserve">примере Вологодской области </w:t>
      </w:r>
      <w:r>
        <w:rPr>
          <w:sz w:val="28"/>
          <w:szCs w:val="28"/>
        </w:rPr>
        <w:t>показал</w:t>
      </w:r>
      <w:r w:rsidRPr="00FF5CC9">
        <w:rPr>
          <w:sz w:val="28"/>
          <w:szCs w:val="28"/>
        </w:rPr>
        <w:t xml:space="preserve">, </w:t>
      </w:r>
      <w:r w:rsidR="00F820C7" w:rsidRPr="00FF5CC9">
        <w:rPr>
          <w:sz w:val="28"/>
          <w:szCs w:val="28"/>
        </w:rPr>
        <w:t xml:space="preserve">что происходит </w:t>
      </w:r>
      <w:r w:rsidR="00DF475B" w:rsidRPr="00FF5CC9">
        <w:rPr>
          <w:sz w:val="28"/>
          <w:szCs w:val="28"/>
        </w:rPr>
        <w:t>снижение значения инд</w:t>
      </w:r>
      <w:r w:rsidR="00DF475B">
        <w:rPr>
          <w:sz w:val="28"/>
          <w:szCs w:val="28"/>
        </w:rPr>
        <w:t>екса</w:t>
      </w:r>
      <w:r w:rsidR="00DF475B" w:rsidRPr="00FF5CC9">
        <w:rPr>
          <w:sz w:val="28"/>
          <w:szCs w:val="28"/>
        </w:rPr>
        <w:t xml:space="preserve"> </w:t>
      </w:r>
      <w:proofErr w:type="spellStart"/>
      <w:r w:rsidR="00DF475B" w:rsidRPr="00FF5CC9">
        <w:rPr>
          <w:sz w:val="28"/>
          <w:szCs w:val="28"/>
        </w:rPr>
        <w:t>центрорегиональной</w:t>
      </w:r>
      <w:proofErr w:type="spellEnd"/>
      <w:r w:rsidR="00DF475B" w:rsidRPr="00FF5CC9">
        <w:rPr>
          <w:sz w:val="28"/>
          <w:szCs w:val="28"/>
        </w:rPr>
        <w:t xml:space="preserve"> дифференциации</w:t>
      </w:r>
      <w:r w:rsidR="00DF475B">
        <w:rPr>
          <w:sz w:val="28"/>
          <w:szCs w:val="28"/>
        </w:rPr>
        <w:t>, что</w:t>
      </w:r>
      <w:r w:rsidR="00DF475B" w:rsidRPr="00FF5CC9">
        <w:rPr>
          <w:sz w:val="28"/>
          <w:szCs w:val="28"/>
        </w:rPr>
        <w:t xml:space="preserve"> свидетельствует </w:t>
      </w:r>
      <w:r w:rsidR="00DF475B">
        <w:rPr>
          <w:sz w:val="28"/>
          <w:szCs w:val="28"/>
        </w:rPr>
        <w:t xml:space="preserve">о </w:t>
      </w:r>
      <w:r w:rsidR="00F820C7" w:rsidRPr="00FF5CC9">
        <w:rPr>
          <w:sz w:val="28"/>
          <w:szCs w:val="28"/>
        </w:rPr>
        <w:t>сближени</w:t>
      </w:r>
      <w:r w:rsidR="00DF475B">
        <w:rPr>
          <w:sz w:val="28"/>
          <w:szCs w:val="28"/>
        </w:rPr>
        <w:t>и</w:t>
      </w:r>
      <w:r w:rsidR="00F820C7" w:rsidRPr="00FF5CC9">
        <w:rPr>
          <w:sz w:val="28"/>
          <w:szCs w:val="28"/>
        </w:rPr>
        <w:t xml:space="preserve"> уровней бюджетной обеспеченности регионального центра и региональной периферии</w:t>
      </w:r>
      <w:r w:rsidR="004A1767">
        <w:rPr>
          <w:sz w:val="28"/>
          <w:szCs w:val="28"/>
        </w:rPr>
        <w:t xml:space="preserve"> </w:t>
      </w:r>
      <w:r w:rsidR="004A1767" w:rsidRPr="004A1767">
        <w:rPr>
          <w:i/>
          <w:sz w:val="28"/>
          <w:szCs w:val="28"/>
        </w:rPr>
        <w:t xml:space="preserve">(рис. </w:t>
      </w:r>
      <w:r w:rsidR="00B031D4">
        <w:rPr>
          <w:i/>
          <w:sz w:val="28"/>
          <w:szCs w:val="28"/>
        </w:rPr>
        <w:t>1</w:t>
      </w:r>
      <w:r w:rsidR="004A1767" w:rsidRPr="004A1767">
        <w:rPr>
          <w:i/>
          <w:sz w:val="28"/>
          <w:szCs w:val="28"/>
        </w:rPr>
        <w:t>)</w:t>
      </w:r>
      <w:r w:rsidR="00F820C7" w:rsidRPr="00FF5CC9">
        <w:rPr>
          <w:sz w:val="28"/>
          <w:szCs w:val="28"/>
        </w:rPr>
        <w:t>.</w:t>
      </w:r>
    </w:p>
    <w:p w:rsidR="00166FEF" w:rsidRDefault="00B031D4" w:rsidP="002661D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DE5C768" wp14:editId="22AC3213">
            <wp:extent cx="6120130" cy="2436303"/>
            <wp:effectExtent l="0" t="0" r="0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66FEF" w:rsidRPr="00DF475B" w:rsidRDefault="00166FEF" w:rsidP="002661D7">
      <w:pPr>
        <w:jc w:val="center"/>
        <w:rPr>
          <w:b/>
        </w:rPr>
      </w:pPr>
      <w:r w:rsidRPr="00DF475B">
        <w:t xml:space="preserve">Рис. </w:t>
      </w:r>
      <w:r w:rsidR="00B031D4">
        <w:t>1</w:t>
      </w:r>
      <w:r w:rsidRPr="00DF475B">
        <w:t xml:space="preserve">. </w:t>
      </w:r>
      <w:r w:rsidRPr="00DF475B">
        <w:rPr>
          <w:b/>
        </w:rPr>
        <w:t xml:space="preserve">Индекс </w:t>
      </w:r>
      <w:proofErr w:type="spellStart"/>
      <w:r w:rsidRPr="00DF475B">
        <w:rPr>
          <w:b/>
        </w:rPr>
        <w:t>центрорегиональной</w:t>
      </w:r>
      <w:proofErr w:type="spellEnd"/>
      <w:r w:rsidRPr="00DF475B">
        <w:rPr>
          <w:b/>
        </w:rPr>
        <w:t xml:space="preserve"> дифференциации</w:t>
      </w:r>
      <w:r w:rsidR="00DF475B" w:rsidRPr="00DF475B">
        <w:rPr>
          <w:b/>
        </w:rPr>
        <w:t xml:space="preserve"> в </w:t>
      </w:r>
      <w:r w:rsidR="00DF475B">
        <w:rPr>
          <w:b/>
        </w:rPr>
        <w:t>Вологодской области</w:t>
      </w:r>
    </w:p>
    <w:p w:rsidR="00F820C7" w:rsidRDefault="00F820C7" w:rsidP="002661D7">
      <w:pPr>
        <w:ind w:firstLine="709"/>
        <w:jc w:val="both"/>
        <w:rPr>
          <w:sz w:val="28"/>
          <w:szCs w:val="28"/>
        </w:rPr>
      </w:pPr>
    </w:p>
    <w:p w:rsidR="00580B84" w:rsidRDefault="00F820C7" w:rsidP="00266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1CE7">
        <w:rPr>
          <w:sz w:val="28"/>
          <w:szCs w:val="28"/>
        </w:rPr>
        <w:t xml:space="preserve">В </w:t>
      </w:r>
      <w:r w:rsidR="0039108C">
        <w:rPr>
          <w:sz w:val="28"/>
          <w:szCs w:val="28"/>
        </w:rPr>
        <w:t>условиях проведения политики</w:t>
      </w:r>
      <w:r w:rsidR="00061CE7">
        <w:rPr>
          <w:sz w:val="28"/>
          <w:szCs w:val="28"/>
        </w:rPr>
        <w:t xml:space="preserve"> межбюджетн</w:t>
      </w:r>
      <w:r w:rsidR="0039108C">
        <w:rPr>
          <w:sz w:val="28"/>
          <w:szCs w:val="28"/>
        </w:rPr>
        <w:t xml:space="preserve">ого выравнивания </w:t>
      </w:r>
      <w:r w:rsidR="00580B84">
        <w:rPr>
          <w:sz w:val="28"/>
          <w:szCs w:val="28"/>
        </w:rPr>
        <w:t>бюджетные системы подавляющего большинства городских округов СЗФО характеризовались снижением собственных налоговых и неналоговых доходов, хотя в среднем к</w:t>
      </w:r>
      <w:r w:rsidR="00580B84" w:rsidRPr="00EE378B">
        <w:rPr>
          <w:sz w:val="28"/>
          <w:szCs w:val="28"/>
        </w:rPr>
        <w:t>оэффициент обеспеченности собственными доходами</w:t>
      </w:r>
      <w:r w:rsidR="00580B84">
        <w:rPr>
          <w:sz w:val="28"/>
          <w:szCs w:val="28"/>
        </w:rPr>
        <w:t xml:space="preserve"> превы</w:t>
      </w:r>
      <w:r>
        <w:rPr>
          <w:sz w:val="28"/>
          <w:szCs w:val="28"/>
        </w:rPr>
        <w:t>си</w:t>
      </w:r>
      <w:r w:rsidR="00580B84">
        <w:rPr>
          <w:sz w:val="28"/>
          <w:szCs w:val="28"/>
        </w:rPr>
        <w:t xml:space="preserve">л средний коэффициент по городским округам страны </w:t>
      </w:r>
      <w:r w:rsidR="00580B84" w:rsidRPr="00F06E6F">
        <w:rPr>
          <w:i/>
          <w:sz w:val="28"/>
          <w:szCs w:val="28"/>
        </w:rPr>
        <w:t xml:space="preserve">(табл. </w:t>
      </w:r>
      <w:r w:rsidR="00F06E6F" w:rsidRPr="00F06E6F">
        <w:rPr>
          <w:i/>
          <w:sz w:val="28"/>
          <w:szCs w:val="28"/>
        </w:rPr>
        <w:t>2</w:t>
      </w:r>
      <w:r w:rsidR="00580B84" w:rsidRPr="00F06E6F">
        <w:rPr>
          <w:i/>
          <w:sz w:val="28"/>
          <w:szCs w:val="28"/>
        </w:rPr>
        <w:t>)</w:t>
      </w:r>
      <w:r w:rsidR="00580B84">
        <w:rPr>
          <w:sz w:val="28"/>
          <w:szCs w:val="28"/>
        </w:rPr>
        <w:t>. Так, например, в столицах Новгородской и Вологодской областей, имевших в 2011</w:t>
      </w:r>
      <w:r w:rsidR="00F06E6F">
        <w:rPr>
          <w:sz w:val="28"/>
          <w:szCs w:val="28"/>
        </w:rPr>
        <w:t> </w:t>
      </w:r>
      <w:r w:rsidR="00580B84">
        <w:rPr>
          <w:sz w:val="28"/>
          <w:szCs w:val="28"/>
        </w:rPr>
        <w:t xml:space="preserve">г. самые лучшие показатели обеспеченности собственными средствами, </w:t>
      </w:r>
      <w:r w:rsidR="00F06E6F">
        <w:rPr>
          <w:sz w:val="28"/>
          <w:szCs w:val="28"/>
        </w:rPr>
        <w:t xml:space="preserve">в 2018 г. </w:t>
      </w:r>
      <w:r w:rsidR="00580B84">
        <w:rPr>
          <w:sz w:val="28"/>
          <w:szCs w:val="28"/>
        </w:rPr>
        <w:t xml:space="preserve">произошло их снижение с 91 до </w:t>
      </w:r>
      <w:r w:rsidR="00F06E6F">
        <w:rPr>
          <w:sz w:val="28"/>
          <w:szCs w:val="28"/>
        </w:rPr>
        <w:t>66</w:t>
      </w:r>
      <w:r w:rsidR="00580B84">
        <w:rPr>
          <w:sz w:val="28"/>
          <w:szCs w:val="28"/>
        </w:rPr>
        <w:t xml:space="preserve">% и с 80 до </w:t>
      </w:r>
      <w:r w:rsidR="00F06E6F">
        <w:rPr>
          <w:sz w:val="28"/>
          <w:szCs w:val="28"/>
        </w:rPr>
        <w:t>68</w:t>
      </w:r>
      <w:r w:rsidR="00580B84">
        <w:rPr>
          <w:sz w:val="28"/>
          <w:szCs w:val="28"/>
        </w:rPr>
        <w:t>%</w:t>
      </w:r>
      <w:r w:rsidR="00D351EB" w:rsidRPr="00D351EB">
        <w:rPr>
          <w:sz w:val="28"/>
          <w:szCs w:val="28"/>
        </w:rPr>
        <w:t xml:space="preserve"> </w:t>
      </w:r>
      <w:r w:rsidR="00D351EB">
        <w:rPr>
          <w:sz w:val="28"/>
          <w:szCs w:val="28"/>
        </w:rPr>
        <w:t>соответственно.</w:t>
      </w:r>
    </w:p>
    <w:p w:rsidR="00D351EB" w:rsidRDefault="00580B84" w:rsidP="002661D7">
      <w:pPr>
        <w:jc w:val="right"/>
      </w:pPr>
      <w:r w:rsidRPr="00F6159D">
        <w:t xml:space="preserve">Таблица </w:t>
      </w:r>
      <w:r w:rsidR="00F06E6F">
        <w:t>2</w:t>
      </w:r>
    </w:p>
    <w:p w:rsidR="00580B84" w:rsidRPr="00D351EB" w:rsidRDefault="00D351EB" w:rsidP="002661D7">
      <w:pPr>
        <w:jc w:val="center"/>
        <w:rPr>
          <w:b/>
        </w:rPr>
      </w:pPr>
      <w:r>
        <w:rPr>
          <w:b/>
        </w:rPr>
        <w:t>Индикатор</w:t>
      </w:r>
      <w:r w:rsidR="00580B84" w:rsidRPr="00D351EB">
        <w:rPr>
          <w:b/>
        </w:rPr>
        <w:t xml:space="preserve"> обеспеченности собственными доходами бюджетов</w:t>
      </w:r>
    </w:p>
    <w:p w:rsidR="00580B84" w:rsidRPr="00D351EB" w:rsidRDefault="00580B84" w:rsidP="002661D7">
      <w:pPr>
        <w:jc w:val="center"/>
        <w:rPr>
          <w:b/>
          <w:i/>
        </w:rPr>
      </w:pPr>
      <w:r w:rsidRPr="00D351EB">
        <w:rPr>
          <w:b/>
        </w:rPr>
        <w:t>городских округов</w:t>
      </w:r>
      <w:r w:rsidRPr="00D351EB">
        <w:rPr>
          <w:b/>
          <w:i/>
        </w:rPr>
        <w:t xml:space="preserve"> </w:t>
      </w:r>
      <w:r w:rsidR="00962B3F">
        <w:rPr>
          <w:b/>
        </w:rPr>
        <w:t xml:space="preserve">СЗФО, </w:t>
      </w:r>
      <w:r w:rsidRPr="00962B3F">
        <w:t>%</w:t>
      </w:r>
      <w:r w:rsidR="00D351EB" w:rsidRPr="00962B3F">
        <w:t>*</w:t>
      </w:r>
    </w:p>
    <w:tbl>
      <w:tblPr>
        <w:tblW w:w="94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846"/>
        <w:gridCol w:w="898"/>
        <w:gridCol w:w="851"/>
        <w:gridCol w:w="850"/>
        <w:gridCol w:w="851"/>
        <w:gridCol w:w="850"/>
        <w:gridCol w:w="892"/>
        <w:gridCol w:w="1024"/>
      </w:tblGrid>
      <w:tr w:rsidR="00B031D4" w:rsidRPr="00B031D4" w:rsidTr="00B031D4">
        <w:trPr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Городской округ</w:t>
            </w:r>
          </w:p>
        </w:tc>
        <w:tc>
          <w:tcPr>
            <w:tcW w:w="846" w:type="dxa"/>
            <w:vAlign w:val="center"/>
          </w:tcPr>
          <w:p w:rsidR="00B031D4" w:rsidRPr="00B031D4" w:rsidRDefault="00B031D4" w:rsidP="00B031D4">
            <w:pPr>
              <w:ind w:left="-102" w:right="-102"/>
              <w:jc w:val="center"/>
              <w:rPr>
                <w:color w:val="000000"/>
                <w:sz w:val="22"/>
                <w:szCs w:val="22"/>
              </w:rPr>
            </w:pPr>
            <w:r w:rsidRPr="00B031D4">
              <w:rPr>
                <w:color w:val="000000"/>
                <w:sz w:val="22"/>
                <w:szCs w:val="22"/>
              </w:rPr>
              <w:t>2011 г.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jc w:val="center"/>
              <w:rPr>
                <w:color w:val="000000"/>
                <w:sz w:val="22"/>
                <w:szCs w:val="22"/>
              </w:rPr>
            </w:pPr>
            <w:r w:rsidRPr="00B031D4">
              <w:rPr>
                <w:color w:val="000000"/>
                <w:sz w:val="22"/>
                <w:szCs w:val="22"/>
              </w:rPr>
              <w:t>2012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jc w:val="center"/>
              <w:rPr>
                <w:color w:val="000000"/>
                <w:sz w:val="22"/>
                <w:szCs w:val="22"/>
              </w:rPr>
            </w:pPr>
            <w:r w:rsidRPr="00B031D4">
              <w:rPr>
                <w:color w:val="000000"/>
                <w:sz w:val="22"/>
                <w:szCs w:val="22"/>
              </w:rPr>
              <w:t>2013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jc w:val="center"/>
              <w:rPr>
                <w:color w:val="000000"/>
                <w:sz w:val="22"/>
                <w:szCs w:val="22"/>
              </w:rPr>
            </w:pPr>
            <w:r w:rsidRPr="00B031D4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jc w:val="center"/>
              <w:rPr>
                <w:color w:val="000000"/>
                <w:sz w:val="22"/>
                <w:szCs w:val="22"/>
              </w:rPr>
            </w:pPr>
            <w:r w:rsidRPr="00B031D4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jc w:val="center"/>
              <w:rPr>
                <w:color w:val="000000"/>
                <w:sz w:val="22"/>
                <w:szCs w:val="22"/>
              </w:rPr>
            </w:pPr>
            <w:r w:rsidRPr="00B031D4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892" w:type="dxa"/>
          </w:tcPr>
          <w:p w:rsidR="00B031D4" w:rsidRPr="00B031D4" w:rsidRDefault="00B031D4" w:rsidP="00B031D4">
            <w:pPr>
              <w:ind w:left="-102" w:right="-10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1024" w:type="dxa"/>
          </w:tcPr>
          <w:p w:rsidR="00B031D4" w:rsidRPr="00B031D4" w:rsidRDefault="00B031D4" w:rsidP="00B031D4">
            <w:pPr>
              <w:ind w:left="-102" w:right="-10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г.</w:t>
            </w:r>
          </w:p>
        </w:tc>
      </w:tr>
      <w:tr w:rsidR="00B031D4" w:rsidRPr="00B031D4" w:rsidTr="00B031D4">
        <w:trPr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Мурманск</w:t>
            </w:r>
          </w:p>
        </w:tc>
        <w:tc>
          <w:tcPr>
            <w:tcW w:w="846" w:type="dxa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0,73</w:t>
            </w:r>
          </w:p>
        </w:tc>
        <w:tc>
          <w:tcPr>
            <w:tcW w:w="898" w:type="dxa"/>
            <w:shd w:val="clear" w:color="auto" w:fill="auto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0,92</w:t>
            </w:r>
          </w:p>
        </w:tc>
        <w:tc>
          <w:tcPr>
            <w:tcW w:w="892" w:type="dxa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0,90</w:t>
            </w:r>
          </w:p>
        </w:tc>
        <w:tc>
          <w:tcPr>
            <w:tcW w:w="1024" w:type="dxa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0,89</w:t>
            </w:r>
          </w:p>
        </w:tc>
      </w:tr>
      <w:tr w:rsidR="00B031D4" w:rsidRPr="00B031D4" w:rsidTr="00B031D4">
        <w:trPr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Калининград</w:t>
            </w:r>
          </w:p>
        </w:tc>
        <w:tc>
          <w:tcPr>
            <w:tcW w:w="846" w:type="dxa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0,57</w:t>
            </w:r>
          </w:p>
        </w:tc>
        <w:tc>
          <w:tcPr>
            <w:tcW w:w="898" w:type="dxa"/>
            <w:shd w:val="clear" w:color="auto" w:fill="auto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0,82</w:t>
            </w:r>
          </w:p>
        </w:tc>
        <w:tc>
          <w:tcPr>
            <w:tcW w:w="892" w:type="dxa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0,83</w:t>
            </w:r>
          </w:p>
        </w:tc>
        <w:tc>
          <w:tcPr>
            <w:tcW w:w="1024" w:type="dxa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0,81</w:t>
            </w:r>
          </w:p>
        </w:tc>
      </w:tr>
      <w:tr w:rsidR="00B031D4" w:rsidRPr="00B031D4" w:rsidTr="00B031D4">
        <w:trPr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Архангельск</w:t>
            </w:r>
          </w:p>
        </w:tc>
        <w:tc>
          <w:tcPr>
            <w:tcW w:w="846" w:type="dxa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0,79</w:t>
            </w:r>
          </w:p>
        </w:tc>
        <w:tc>
          <w:tcPr>
            <w:tcW w:w="898" w:type="dxa"/>
            <w:shd w:val="clear" w:color="auto" w:fill="auto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0,87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0,81</w:t>
            </w:r>
          </w:p>
        </w:tc>
        <w:tc>
          <w:tcPr>
            <w:tcW w:w="892" w:type="dxa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0,80</w:t>
            </w:r>
          </w:p>
        </w:tc>
        <w:tc>
          <w:tcPr>
            <w:tcW w:w="1024" w:type="dxa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0,77</w:t>
            </w:r>
          </w:p>
        </w:tc>
      </w:tr>
      <w:tr w:rsidR="00B031D4" w:rsidRPr="00B031D4" w:rsidTr="00B031D4">
        <w:trPr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Петрозаводск</w:t>
            </w:r>
          </w:p>
        </w:tc>
        <w:tc>
          <w:tcPr>
            <w:tcW w:w="846" w:type="dxa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0,78</w:t>
            </w:r>
          </w:p>
        </w:tc>
        <w:tc>
          <w:tcPr>
            <w:tcW w:w="898" w:type="dxa"/>
            <w:shd w:val="clear" w:color="auto" w:fill="auto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0,74</w:t>
            </w:r>
          </w:p>
        </w:tc>
        <w:tc>
          <w:tcPr>
            <w:tcW w:w="892" w:type="dxa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1024" w:type="dxa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</w:t>
            </w:r>
          </w:p>
        </w:tc>
      </w:tr>
      <w:tr w:rsidR="00B031D4" w:rsidRPr="00B031D4" w:rsidTr="00B031D4">
        <w:trPr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Вологда</w:t>
            </w:r>
          </w:p>
        </w:tc>
        <w:tc>
          <w:tcPr>
            <w:tcW w:w="846" w:type="dxa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0,80</w:t>
            </w:r>
          </w:p>
        </w:tc>
        <w:tc>
          <w:tcPr>
            <w:tcW w:w="898" w:type="dxa"/>
            <w:shd w:val="clear" w:color="auto" w:fill="auto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0,70</w:t>
            </w:r>
          </w:p>
        </w:tc>
        <w:tc>
          <w:tcPr>
            <w:tcW w:w="892" w:type="dxa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024" w:type="dxa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0,68</w:t>
            </w:r>
          </w:p>
        </w:tc>
      </w:tr>
      <w:tr w:rsidR="00F06E6F" w:rsidRPr="00B031D4" w:rsidTr="00A61C6B">
        <w:trPr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F06E6F" w:rsidRPr="00B031D4" w:rsidRDefault="00F06E6F" w:rsidP="00A61C6B">
            <w:pPr>
              <w:ind w:left="-102" w:right="-102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Великий Новгород</w:t>
            </w:r>
          </w:p>
        </w:tc>
        <w:tc>
          <w:tcPr>
            <w:tcW w:w="846" w:type="dxa"/>
          </w:tcPr>
          <w:p w:rsidR="00F06E6F" w:rsidRPr="00B031D4" w:rsidRDefault="00F06E6F" w:rsidP="00A61C6B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0,91</w:t>
            </w:r>
          </w:p>
        </w:tc>
        <w:tc>
          <w:tcPr>
            <w:tcW w:w="898" w:type="dxa"/>
            <w:shd w:val="clear" w:color="auto" w:fill="auto"/>
          </w:tcPr>
          <w:p w:rsidR="00F06E6F" w:rsidRPr="00B031D4" w:rsidRDefault="00F06E6F" w:rsidP="00A61C6B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6F" w:rsidRPr="00B031D4" w:rsidRDefault="00F06E6F" w:rsidP="00A61C6B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6E6F" w:rsidRPr="00B031D4" w:rsidRDefault="00F06E6F" w:rsidP="00A61C6B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6F" w:rsidRPr="00B031D4" w:rsidRDefault="00F06E6F" w:rsidP="00A61C6B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6E6F" w:rsidRPr="00B031D4" w:rsidRDefault="00F06E6F" w:rsidP="00A61C6B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0,57</w:t>
            </w:r>
          </w:p>
        </w:tc>
        <w:tc>
          <w:tcPr>
            <w:tcW w:w="892" w:type="dxa"/>
          </w:tcPr>
          <w:p w:rsidR="00F06E6F" w:rsidRPr="00B031D4" w:rsidRDefault="00F06E6F" w:rsidP="00A61C6B">
            <w:pPr>
              <w:ind w:left="-102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0,68</w:t>
            </w:r>
          </w:p>
        </w:tc>
        <w:tc>
          <w:tcPr>
            <w:tcW w:w="1024" w:type="dxa"/>
          </w:tcPr>
          <w:p w:rsidR="00F06E6F" w:rsidRPr="00B031D4" w:rsidRDefault="00F06E6F" w:rsidP="00A61C6B">
            <w:pPr>
              <w:ind w:left="-102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</w:tr>
      <w:tr w:rsidR="00F06E6F" w:rsidRPr="00B031D4" w:rsidTr="0022722D">
        <w:trPr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F06E6F" w:rsidRPr="00B031D4" w:rsidRDefault="00F06E6F" w:rsidP="0022722D">
            <w:pPr>
              <w:ind w:left="-102" w:right="-102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lastRenderedPageBreak/>
              <w:t>Псков</w:t>
            </w:r>
          </w:p>
        </w:tc>
        <w:tc>
          <w:tcPr>
            <w:tcW w:w="846" w:type="dxa"/>
          </w:tcPr>
          <w:p w:rsidR="00F06E6F" w:rsidRPr="00B031D4" w:rsidRDefault="00F06E6F" w:rsidP="0022722D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0,58</w:t>
            </w:r>
          </w:p>
        </w:tc>
        <w:tc>
          <w:tcPr>
            <w:tcW w:w="898" w:type="dxa"/>
            <w:shd w:val="clear" w:color="auto" w:fill="auto"/>
          </w:tcPr>
          <w:p w:rsidR="00F06E6F" w:rsidRPr="00B031D4" w:rsidRDefault="00F06E6F" w:rsidP="0022722D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6F" w:rsidRPr="00B031D4" w:rsidRDefault="00F06E6F" w:rsidP="0022722D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6E6F" w:rsidRPr="00B031D4" w:rsidRDefault="00F06E6F" w:rsidP="0022722D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6F" w:rsidRPr="00B031D4" w:rsidRDefault="00F06E6F" w:rsidP="0022722D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6E6F" w:rsidRPr="00B031D4" w:rsidRDefault="00F06E6F" w:rsidP="0022722D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0,53</w:t>
            </w:r>
          </w:p>
        </w:tc>
        <w:tc>
          <w:tcPr>
            <w:tcW w:w="892" w:type="dxa"/>
          </w:tcPr>
          <w:p w:rsidR="00F06E6F" w:rsidRPr="00B031D4" w:rsidRDefault="00F06E6F" w:rsidP="0022722D">
            <w:pPr>
              <w:ind w:left="-102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</w:t>
            </w:r>
          </w:p>
        </w:tc>
        <w:tc>
          <w:tcPr>
            <w:tcW w:w="1024" w:type="dxa"/>
          </w:tcPr>
          <w:p w:rsidR="00F06E6F" w:rsidRPr="00B031D4" w:rsidRDefault="00F06E6F" w:rsidP="0022722D">
            <w:pPr>
              <w:ind w:left="-102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0,59</w:t>
            </w:r>
          </w:p>
        </w:tc>
      </w:tr>
      <w:tr w:rsidR="00B031D4" w:rsidRPr="00B031D4" w:rsidTr="00B031D4">
        <w:trPr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Сыктывкар</w:t>
            </w:r>
          </w:p>
        </w:tc>
        <w:tc>
          <w:tcPr>
            <w:tcW w:w="846" w:type="dxa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0,66</w:t>
            </w:r>
          </w:p>
        </w:tc>
        <w:tc>
          <w:tcPr>
            <w:tcW w:w="898" w:type="dxa"/>
            <w:shd w:val="clear" w:color="auto" w:fill="auto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0,58</w:t>
            </w:r>
          </w:p>
        </w:tc>
        <w:tc>
          <w:tcPr>
            <w:tcW w:w="892" w:type="dxa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</w:t>
            </w:r>
          </w:p>
        </w:tc>
        <w:tc>
          <w:tcPr>
            <w:tcW w:w="1024" w:type="dxa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0,59</w:t>
            </w:r>
          </w:p>
        </w:tc>
      </w:tr>
      <w:tr w:rsidR="00B031D4" w:rsidRPr="00B031D4" w:rsidTr="00B031D4">
        <w:trPr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Итого по ГО СЗФО</w:t>
            </w:r>
          </w:p>
        </w:tc>
        <w:tc>
          <w:tcPr>
            <w:tcW w:w="846" w:type="dxa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0,70</w:t>
            </w:r>
          </w:p>
        </w:tc>
        <w:tc>
          <w:tcPr>
            <w:tcW w:w="898" w:type="dxa"/>
            <w:shd w:val="clear" w:color="auto" w:fill="auto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0,75</w:t>
            </w:r>
          </w:p>
        </w:tc>
        <w:tc>
          <w:tcPr>
            <w:tcW w:w="892" w:type="dxa"/>
          </w:tcPr>
          <w:p w:rsidR="00B031D4" w:rsidRPr="003D5C2F" w:rsidRDefault="00B031D4" w:rsidP="00B031D4">
            <w:pPr>
              <w:jc w:val="center"/>
            </w:pPr>
            <w:r w:rsidRPr="003D5C2F">
              <w:t>0,73</w:t>
            </w:r>
          </w:p>
        </w:tc>
        <w:tc>
          <w:tcPr>
            <w:tcW w:w="1024" w:type="dxa"/>
          </w:tcPr>
          <w:p w:rsidR="00B031D4" w:rsidRDefault="00B031D4" w:rsidP="00B031D4">
            <w:pPr>
              <w:jc w:val="center"/>
            </w:pPr>
            <w:r w:rsidRPr="003D5C2F">
              <w:t>0,71</w:t>
            </w:r>
          </w:p>
        </w:tc>
      </w:tr>
      <w:tr w:rsidR="00B031D4" w:rsidRPr="00B031D4" w:rsidTr="00B031D4">
        <w:trPr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Всего по ГО РФ</w:t>
            </w:r>
          </w:p>
        </w:tc>
        <w:tc>
          <w:tcPr>
            <w:tcW w:w="846" w:type="dxa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0,62</w:t>
            </w:r>
          </w:p>
        </w:tc>
        <w:tc>
          <w:tcPr>
            <w:tcW w:w="898" w:type="dxa"/>
            <w:shd w:val="clear" w:color="auto" w:fill="auto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B031D4">
              <w:rPr>
                <w:sz w:val="22"/>
                <w:szCs w:val="22"/>
              </w:rPr>
              <w:t>0,64</w:t>
            </w:r>
          </w:p>
        </w:tc>
        <w:tc>
          <w:tcPr>
            <w:tcW w:w="892" w:type="dxa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</w:t>
            </w:r>
          </w:p>
        </w:tc>
        <w:tc>
          <w:tcPr>
            <w:tcW w:w="1024" w:type="dxa"/>
          </w:tcPr>
          <w:p w:rsidR="00B031D4" w:rsidRPr="00B031D4" w:rsidRDefault="00B031D4" w:rsidP="00B031D4">
            <w:pPr>
              <w:ind w:left="-102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</w:tr>
    </w:tbl>
    <w:p w:rsidR="00D351EB" w:rsidRDefault="00D351EB" w:rsidP="002661D7">
      <w:pPr>
        <w:spacing w:before="120"/>
        <w:jc w:val="both"/>
      </w:pPr>
      <w:r>
        <w:t>* Индикатор рассчитан как отношение налоговых и неналоговых доходов к расходам без учета субвенций из федерального бюджета.</w:t>
      </w:r>
    </w:p>
    <w:p w:rsidR="00580B84" w:rsidRPr="002016EA" w:rsidRDefault="00580B84" w:rsidP="002661D7">
      <w:pPr>
        <w:spacing w:before="120"/>
        <w:jc w:val="both"/>
      </w:pPr>
      <w:r w:rsidRPr="002016EA">
        <w:t>Источник: рассчитано автором по данным отчетов об исполнении бюджетов городских ок</w:t>
      </w:r>
      <w:r>
        <w:t>ругов, отчетности Федерального К</w:t>
      </w:r>
      <w:r w:rsidRPr="002016EA">
        <w:t>азначейства России</w:t>
      </w:r>
      <w:r>
        <w:t>, Росстата, ФНС России</w:t>
      </w:r>
      <w:r w:rsidRPr="002016EA">
        <w:t>.</w:t>
      </w:r>
    </w:p>
    <w:p w:rsidR="00580B84" w:rsidRPr="003F51BA" w:rsidRDefault="00580B84" w:rsidP="002661D7">
      <w:pPr>
        <w:ind w:firstLine="709"/>
        <w:jc w:val="both"/>
        <w:rPr>
          <w:sz w:val="28"/>
          <w:szCs w:val="28"/>
        </w:rPr>
      </w:pPr>
    </w:p>
    <w:p w:rsidR="00F30D85" w:rsidRDefault="00BC36DD" w:rsidP="002661D7">
      <w:pPr>
        <w:ind w:firstLine="709"/>
        <w:jc w:val="both"/>
        <w:rPr>
          <w:spacing w:val="-4"/>
          <w:sz w:val="28"/>
          <w:szCs w:val="28"/>
        </w:rPr>
      </w:pPr>
      <w:r w:rsidRPr="00BC36DD">
        <w:rPr>
          <w:sz w:val="28"/>
          <w:szCs w:val="28"/>
        </w:rPr>
        <w:t>Таким образом, в результате анализа</w:t>
      </w:r>
      <w:r>
        <w:rPr>
          <w:b/>
          <w:sz w:val="28"/>
          <w:szCs w:val="28"/>
        </w:rPr>
        <w:t xml:space="preserve"> </w:t>
      </w:r>
      <w:r w:rsidR="00593599">
        <w:rPr>
          <w:sz w:val="28"/>
          <w:szCs w:val="28"/>
        </w:rPr>
        <w:t xml:space="preserve">выявлено укрепление крайне </w:t>
      </w:r>
      <w:r w:rsidR="00D77167">
        <w:rPr>
          <w:sz w:val="28"/>
          <w:szCs w:val="28"/>
        </w:rPr>
        <w:t>негативн</w:t>
      </w:r>
      <w:r w:rsidR="00593599">
        <w:rPr>
          <w:sz w:val="28"/>
          <w:szCs w:val="28"/>
        </w:rPr>
        <w:t>ой</w:t>
      </w:r>
      <w:r w:rsidR="00D77167">
        <w:rPr>
          <w:sz w:val="28"/>
          <w:szCs w:val="28"/>
        </w:rPr>
        <w:t xml:space="preserve"> тенденци</w:t>
      </w:r>
      <w:r w:rsidR="00593599">
        <w:rPr>
          <w:sz w:val="28"/>
          <w:szCs w:val="28"/>
        </w:rPr>
        <w:t>и</w:t>
      </w:r>
      <w:r w:rsidR="00D77167">
        <w:rPr>
          <w:sz w:val="28"/>
          <w:szCs w:val="28"/>
        </w:rPr>
        <w:t xml:space="preserve"> превышения финансовой помощи над налоговыми доходами в бюджетах региональных столиц</w:t>
      </w:r>
      <w:r>
        <w:rPr>
          <w:sz w:val="28"/>
          <w:szCs w:val="28"/>
        </w:rPr>
        <w:t xml:space="preserve"> СЗФО</w:t>
      </w:r>
      <w:r w:rsidR="00DF2FCD">
        <w:rPr>
          <w:sz w:val="28"/>
          <w:szCs w:val="28"/>
        </w:rPr>
        <w:t xml:space="preserve">, которая вызвана сокращением их собственных доходов </w:t>
      </w:r>
      <w:r w:rsidR="00593599">
        <w:rPr>
          <w:sz w:val="28"/>
          <w:szCs w:val="28"/>
        </w:rPr>
        <w:t xml:space="preserve">за 2011-2016 гг. </w:t>
      </w:r>
      <w:r w:rsidR="00DF2FCD">
        <w:rPr>
          <w:sz w:val="28"/>
          <w:szCs w:val="28"/>
        </w:rPr>
        <w:t>на 7% в номинальном и 35% в реальном выражении.</w:t>
      </w:r>
      <w:r>
        <w:rPr>
          <w:sz w:val="28"/>
          <w:szCs w:val="28"/>
        </w:rPr>
        <w:t xml:space="preserve"> Кроме того, определено </w:t>
      </w:r>
      <w:r w:rsidR="00593599">
        <w:rPr>
          <w:sz w:val="28"/>
          <w:szCs w:val="28"/>
        </w:rPr>
        <w:t>снижение ф</w:t>
      </w:r>
      <w:r w:rsidR="00593599">
        <w:rPr>
          <w:spacing w:val="-4"/>
          <w:sz w:val="28"/>
          <w:szCs w:val="28"/>
        </w:rPr>
        <w:t xml:space="preserve">искальной функции налога на доходы физических лиц в результате изменений в действующей межбюджетной политике, что решающим образом повлияло на устойчивость и сбалансированность бюджетов региональных центров СЗФО. </w:t>
      </w:r>
      <w:r w:rsidR="00593599">
        <w:rPr>
          <w:sz w:val="28"/>
          <w:szCs w:val="28"/>
        </w:rPr>
        <w:t>Данные тенденции позволяют сделать вывод о том, что пока бюджеты региональных центров находятся в состоянии не развития, готового к социальным преобразованиям</w:t>
      </w:r>
      <w:r w:rsidR="00D752E0" w:rsidRPr="00D752E0">
        <w:rPr>
          <w:sz w:val="28"/>
          <w:szCs w:val="28"/>
        </w:rPr>
        <w:t xml:space="preserve"> </w:t>
      </w:r>
      <w:r w:rsidR="00D752E0">
        <w:rPr>
          <w:sz w:val="28"/>
          <w:szCs w:val="28"/>
        </w:rPr>
        <w:t xml:space="preserve">и экономическому росту, а выживания. Поэтому </w:t>
      </w:r>
      <w:proofErr w:type="spellStart"/>
      <w:r w:rsidR="00D752E0">
        <w:rPr>
          <w:sz w:val="28"/>
          <w:szCs w:val="28"/>
        </w:rPr>
        <w:t>фронтирное</w:t>
      </w:r>
      <w:proofErr w:type="spellEnd"/>
      <w:r w:rsidR="00D752E0">
        <w:rPr>
          <w:sz w:val="28"/>
          <w:szCs w:val="28"/>
        </w:rPr>
        <w:t xml:space="preserve"> состояние требует особого внимания к </w:t>
      </w:r>
      <w:r w:rsidR="00D752E0" w:rsidRPr="00D752E0">
        <w:rPr>
          <w:sz w:val="28"/>
          <w:szCs w:val="28"/>
        </w:rPr>
        <w:t xml:space="preserve">региональным центрам со стороны государства. </w:t>
      </w:r>
    </w:p>
    <w:p w:rsidR="008137CF" w:rsidRDefault="008137CF" w:rsidP="002661D7">
      <w:pPr>
        <w:ind w:firstLine="709"/>
        <w:jc w:val="both"/>
        <w:rPr>
          <w:sz w:val="28"/>
          <w:szCs w:val="28"/>
        </w:rPr>
      </w:pPr>
    </w:p>
    <w:p w:rsidR="008137CF" w:rsidRPr="008137CF" w:rsidRDefault="008137CF" w:rsidP="002661D7">
      <w:pPr>
        <w:ind w:firstLine="709"/>
        <w:jc w:val="both"/>
        <w:rPr>
          <w:b/>
          <w:sz w:val="28"/>
          <w:szCs w:val="28"/>
        </w:rPr>
      </w:pPr>
      <w:r w:rsidRPr="008137CF">
        <w:rPr>
          <w:b/>
          <w:sz w:val="28"/>
          <w:szCs w:val="28"/>
        </w:rPr>
        <w:t>Список литературы</w:t>
      </w:r>
    </w:p>
    <w:p w:rsidR="000A3138" w:rsidRPr="00995D42" w:rsidRDefault="000A3138" w:rsidP="002661D7">
      <w:pPr>
        <w:pStyle w:val="ab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spellStart"/>
      <w:r w:rsidRPr="00995D42">
        <w:rPr>
          <w:sz w:val="28"/>
          <w:szCs w:val="28"/>
          <w:lang w:val="en-US"/>
        </w:rPr>
        <w:t>Friedmann</w:t>
      </w:r>
      <w:proofErr w:type="spellEnd"/>
      <w:r w:rsidRPr="00995D42">
        <w:rPr>
          <w:sz w:val="28"/>
          <w:szCs w:val="28"/>
          <w:lang w:val="en-US"/>
        </w:rPr>
        <w:t xml:space="preserve"> J. Where we stand: A decade of world city research // World Cities in a World-System. Cambridge, 1995. P. 21-47. </w:t>
      </w:r>
    </w:p>
    <w:p w:rsidR="000A3138" w:rsidRPr="00995D42" w:rsidRDefault="000A3138" w:rsidP="002661D7">
      <w:pPr>
        <w:pStyle w:val="ab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spellStart"/>
      <w:r w:rsidRPr="00995D42">
        <w:rPr>
          <w:sz w:val="28"/>
          <w:szCs w:val="28"/>
          <w:lang w:val="en-US"/>
        </w:rPr>
        <w:t>Feagin</w:t>
      </w:r>
      <w:proofErr w:type="spellEnd"/>
      <w:r w:rsidRPr="00995D42">
        <w:rPr>
          <w:sz w:val="28"/>
          <w:szCs w:val="28"/>
          <w:lang w:val="en-US"/>
        </w:rPr>
        <w:t xml:space="preserve"> J., Smith M. Cities and the New International Divisions of Location: An Overview // The Capitalist City: Global Restructuring and Community Politics. Oxford, 1987. P. 3-34. </w:t>
      </w:r>
    </w:p>
    <w:p w:rsidR="00BC36DD" w:rsidRPr="00BC36DD" w:rsidRDefault="000A3138" w:rsidP="00BC36DD">
      <w:pPr>
        <w:pStyle w:val="ab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995D42">
        <w:rPr>
          <w:sz w:val="28"/>
          <w:szCs w:val="28"/>
          <w:lang w:val="en-US"/>
        </w:rPr>
        <w:t xml:space="preserve">Taylor P. Specification of the world city network // Geographical Analysis. 2001. № 33 P. 181-194. </w:t>
      </w:r>
    </w:p>
    <w:p w:rsidR="00BC36DD" w:rsidRPr="00BC36DD" w:rsidRDefault="00BC36DD" w:rsidP="00BC36DD">
      <w:pPr>
        <w:pStyle w:val="ab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BC36DD">
        <w:rPr>
          <w:sz w:val="28"/>
          <w:szCs w:val="28"/>
        </w:rPr>
        <w:t>Послание Президента Федеральному Собранию от 01.03.2018. – Режим доступа: http://kremlin.ru/events/president/news/56957</w:t>
      </w:r>
    </w:p>
    <w:p w:rsidR="00BC36DD" w:rsidRPr="00995D42" w:rsidRDefault="00BC36DD" w:rsidP="00BC36DD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spellStart"/>
      <w:r w:rsidRPr="00995D42">
        <w:rPr>
          <w:sz w:val="28"/>
          <w:szCs w:val="28"/>
        </w:rPr>
        <w:t>Буфетова</w:t>
      </w:r>
      <w:proofErr w:type="spellEnd"/>
      <w:r w:rsidRPr="00995D42">
        <w:rPr>
          <w:sz w:val="28"/>
          <w:szCs w:val="28"/>
        </w:rPr>
        <w:t xml:space="preserve"> А.Н. Неравномерность пространственного развития: региональные центры и региональная периферия // Регион: экономика и социология. 2009. № 4. С. 55–68.</w:t>
      </w:r>
    </w:p>
    <w:p w:rsidR="00BC36DD" w:rsidRPr="00995D42" w:rsidRDefault="00BC36DD" w:rsidP="00BC36DD">
      <w:pPr>
        <w:pStyle w:val="ab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spellStart"/>
      <w:r w:rsidRPr="00995D42">
        <w:rPr>
          <w:sz w:val="28"/>
          <w:szCs w:val="28"/>
        </w:rPr>
        <w:t>Зубаревич</w:t>
      </w:r>
      <w:proofErr w:type="spellEnd"/>
      <w:r w:rsidRPr="00995D42">
        <w:rPr>
          <w:sz w:val="28"/>
          <w:szCs w:val="28"/>
        </w:rPr>
        <w:t xml:space="preserve"> Н.В. Города как центры модернизации экономики и человеческого капитала</w:t>
      </w:r>
      <w:r w:rsidR="003C5FB2">
        <w:rPr>
          <w:sz w:val="28"/>
          <w:szCs w:val="28"/>
        </w:rPr>
        <w:t xml:space="preserve"> </w:t>
      </w:r>
      <w:r w:rsidRPr="00995D42">
        <w:rPr>
          <w:sz w:val="28"/>
          <w:szCs w:val="28"/>
        </w:rPr>
        <w:t>// Общественные науки и современность. 2010. № 5. С. 5–19.</w:t>
      </w:r>
    </w:p>
    <w:p w:rsidR="00BC36DD" w:rsidRPr="00173FC2" w:rsidRDefault="00BC36DD" w:rsidP="00BC36DD">
      <w:pPr>
        <w:pStyle w:val="af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42">
        <w:rPr>
          <w:rFonts w:ascii="Times New Roman" w:hAnsi="Times New Roman" w:cs="Times New Roman"/>
          <w:sz w:val="28"/>
          <w:szCs w:val="28"/>
        </w:rPr>
        <w:t>Смирнова В.В., Шубин С.И. Развитие региональных центров Европейского Севера Ро</w:t>
      </w:r>
      <w:bookmarkStart w:id="1" w:name="_GoBack"/>
      <w:bookmarkEnd w:id="1"/>
      <w:r w:rsidRPr="00995D42">
        <w:rPr>
          <w:rFonts w:ascii="Times New Roman" w:hAnsi="Times New Roman" w:cs="Times New Roman"/>
          <w:sz w:val="28"/>
          <w:szCs w:val="28"/>
        </w:rPr>
        <w:t xml:space="preserve">ссии в условиях советской модернизации 1920–1930-х </w:t>
      </w:r>
      <w:proofErr w:type="spellStart"/>
      <w:r w:rsidRPr="00995D42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995D42">
        <w:rPr>
          <w:rFonts w:ascii="Times New Roman" w:hAnsi="Times New Roman" w:cs="Times New Roman"/>
          <w:sz w:val="28"/>
          <w:szCs w:val="28"/>
        </w:rPr>
        <w:t xml:space="preserve"> // Вопросы </w:t>
      </w:r>
      <w:r w:rsidRPr="00173FC2">
        <w:rPr>
          <w:rFonts w:ascii="Times New Roman" w:hAnsi="Times New Roman" w:cs="Times New Roman"/>
          <w:sz w:val="28"/>
          <w:szCs w:val="28"/>
        </w:rPr>
        <w:t xml:space="preserve">территориального развития. 2017. № 3 (38). </w:t>
      </w:r>
      <w:r w:rsidRPr="00173FC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73FC2">
        <w:rPr>
          <w:rFonts w:ascii="Times New Roman" w:hAnsi="Times New Roman" w:cs="Times New Roman"/>
          <w:sz w:val="28"/>
          <w:szCs w:val="28"/>
        </w:rPr>
        <w:t xml:space="preserve">: </w:t>
      </w:r>
      <w:r w:rsidRPr="00173FC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73FC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73FC2">
        <w:rPr>
          <w:rFonts w:ascii="Times New Roman" w:hAnsi="Times New Roman" w:cs="Times New Roman"/>
          <w:sz w:val="28"/>
          <w:szCs w:val="28"/>
          <w:lang w:val="en-US"/>
        </w:rPr>
        <w:t>vtr</w:t>
      </w:r>
      <w:proofErr w:type="spellEnd"/>
      <w:r w:rsidRPr="00173F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73FC2">
        <w:rPr>
          <w:rFonts w:ascii="Times New Roman" w:hAnsi="Times New Roman" w:cs="Times New Roman"/>
          <w:sz w:val="28"/>
          <w:szCs w:val="28"/>
          <w:lang w:val="en-US"/>
        </w:rPr>
        <w:t>vscc</w:t>
      </w:r>
      <w:proofErr w:type="spellEnd"/>
      <w:r w:rsidRPr="00173FC2">
        <w:rPr>
          <w:rFonts w:ascii="Times New Roman" w:hAnsi="Times New Roman" w:cs="Times New Roman"/>
          <w:sz w:val="28"/>
          <w:szCs w:val="28"/>
        </w:rPr>
        <w:t>.</w:t>
      </w:r>
      <w:r w:rsidRPr="00173FC2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173F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73FC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3FC2">
        <w:rPr>
          <w:rFonts w:ascii="Times New Roman" w:hAnsi="Times New Roman" w:cs="Times New Roman"/>
          <w:sz w:val="28"/>
          <w:szCs w:val="28"/>
        </w:rPr>
        <w:t>/</w:t>
      </w:r>
      <w:r w:rsidRPr="00173FC2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173FC2">
        <w:rPr>
          <w:rFonts w:ascii="Times New Roman" w:hAnsi="Times New Roman" w:cs="Times New Roman"/>
          <w:sz w:val="28"/>
          <w:szCs w:val="28"/>
        </w:rPr>
        <w:t>/2266</w:t>
      </w:r>
    </w:p>
    <w:p w:rsidR="00173FC2" w:rsidRPr="00173FC2" w:rsidRDefault="00173FC2" w:rsidP="00173FC2">
      <w:pPr>
        <w:pStyle w:val="af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Печенская, М.А. Состояние бюджетов муниципальных образований разных типов и направления повышения их доходного потенциала </w:t>
      </w:r>
      <w:r w:rsid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7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Проблемы развития территорий. 2012. №60. C. 83-96. </w:t>
      </w:r>
    </w:p>
    <w:p w:rsidR="00BC36DD" w:rsidRPr="00173FC2" w:rsidRDefault="00BC36DD" w:rsidP="00BC36DD">
      <w:pPr>
        <w:pStyle w:val="af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C2">
        <w:rPr>
          <w:rFonts w:ascii="Times New Roman" w:hAnsi="Times New Roman" w:cs="Times New Roman"/>
          <w:sz w:val="28"/>
          <w:szCs w:val="28"/>
        </w:rPr>
        <w:t>Федеральные законы от 30.11.2011 № 361-ФЗ и от 23.07.2013 № 252-ФЗ «О внесении изменений в Бюджетный кодекс Российской Федерации и отдельные законодательные акты Российской Федерации».</w:t>
      </w:r>
    </w:p>
    <w:p w:rsidR="00F30D85" w:rsidRPr="00DE04DD" w:rsidRDefault="00F30D85" w:rsidP="00173FC2">
      <w:pPr>
        <w:jc w:val="both"/>
        <w:rPr>
          <w:sz w:val="28"/>
          <w:szCs w:val="28"/>
        </w:rPr>
      </w:pPr>
    </w:p>
    <w:sectPr w:rsidR="00F30D85" w:rsidRPr="00DE04DD" w:rsidSect="002661D7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D7" w:rsidRDefault="002661D7" w:rsidP="00580B84">
      <w:r>
        <w:separator/>
      </w:r>
    </w:p>
  </w:endnote>
  <w:endnote w:type="continuationSeparator" w:id="0">
    <w:p w:rsidR="002661D7" w:rsidRDefault="002661D7" w:rsidP="0058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077391"/>
      <w:docPartObj>
        <w:docPartGallery w:val="Page Numbers (Bottom of Page)"/>
        <w:docPartUnique/>
      </w:docPartObj>
    </w:sdtPr>
    <w:sdtEndPr/>
    <w:sdtContent>
      <w:p w:rsidR="002661D7" w:rsidRDefault="002661D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FB2">
          <w:rPr>
            <w:noProof/>
          </w:rPr>
          <w:t>1</w:t>
        </w:r>
        <w:r>
          <w:fldChar w:fldCharType="end"/>
        </w:r>
      </w:p>
    </w:sdtContent>
  </w:sdt>
  <w:p w:rsidR="002661D7" w:rsidRDefault="002661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D7" w:rsidRDefault="002661D7" w:rsidP="00580B84">
      <w:r>
        <w:separator/>
      </w:r>
    </w:p>
  </w:footnote>
  <w:footnote w:type="continuationSeparator" w:id="0">
    <w:p w:rsidR="002661D7" w:rsidRDefault="002661D7" w:rsidP="00580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4EB0"/>
    <w:multiLevelType w:val="hybridMultilevel"/>
    <w:tmpl w:val="EF0A18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14727"/>
    <w:multiLevelType w:val="hybridMultilevel"/>
    <w:tmpl w:val="AF9C8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A7F68"/>
    <w:multiLevelType w:val="hybridMultilevel"/>
    <w:tmpl w:val="F7A06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60DFF"/>
    <w:multiLevelType w:val="hybridMultilevel"/>
    <w:tmpl w:val="44E684AC"/>
    <w:lvl w:ilvl="0" w:tplc="834EA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D0E49"/>
    <w:multiLevelType w:val="hybridMultilevel"/>
    <w:tmpl w:val="800E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77228"/>
    <w:multiLevelType w:val="hybridMultilevel"/>
    <w:tmpl w:val="7B9C846E"/>
    <w:lvl w:ilvl="0" w:tplc="C3E4B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53435"/>
    <w:multiLevelType w:val="hybridMultilevel"/>
    <w:tmpl w:val="33582E1A"/>
    <w:lvl w:ilvl="0" w:tplc="5352DE1A">
      <w:start w:val="1"/>
      <w:numFmt w:val="bullet"/>
      <w:lvlText w:val="−"/>
      <w:lvlJc w:val="left"/>
      <w:pPr>
        <w:ind w:left="1429" w:hanging="360"/>
      </w:pPr>
      <w:rPr>
        <w:rFonts w:ascii="Arno Pro Display" w:hAnsi="Arno Pro Display" w:hint="default"/>
        <w:b w:val="0"/>
        <w:i w:val="0"/>
        <w:color w:val="auto"/>
        <w:sz w:val="1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2C31EB"/>
    <w:multiLevelType w:val="hybridMultilevel"/>
    <w:tmpl w:val="9F54FF80"/>
    <w:lvl w:ilvl="0" w:tplc="5BB2510E">
      <w:start w:val="1"/>
      <w:numFmt w:val="decimal"/>
      <w:lvlText w:val="%1)"/>
      <w:lvlJc w:val="left"/>
      <w:pPr>
        <w:ind w:left="1714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480EED"/>
    <w:multiLevelType w:val="hybridMultilevel"/>
    <w:tmpl w:val="3174ABB0"/>
    <w:lvl w:ilvl="0" w:tplc="30D4B6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C84A27"/>
    <w:multiLevelType w:val="hybridMultilevel"/>
    <w:tmpl w:val="521EC668"/>
    <w:lvl w:ilvl="0" w:tplc="39666F6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3F26E3"/>
    <w:multiLevelType w:val="hybridMultilevel"/>
    <w:tmpl w:val="65866202"/>
    <w:lvl w:ilvl="0" w:tplc="DB0E5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40353F"/>
    <w:multiLevelType w:val="hybridMultilevel"/>
    <w:tmpl w:val="BD5E6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2A41BD"/>
    <w:multiLevelType w:val="hybridMultilevel"/>
    <w:tmpl w:val="61FA532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78"/>
    <w:rsid w:val="0000118F"/>
    <w:rsid w:val="00005AB1"/>
    <w:rsid w:val="00021003"/>
    <w:rsid w:val="0003313C"/>
    <w:rsid w:val="00061CE7"/>
    <w:rsid w:val="000A3138"/>
    <w:rsid w:val="000A394C"/>
    <w:rsid w:val="000D4454"/>
    <w:rsid w:val="000E1179"/>
    <w:rsid w:val="000F6EBD"/>
    <w:rsid w:val="00112B5B"/>
    <w:rsid w:val="001326BD"/>
    <w:rsid w:val="001503BE"/>
    <w:rsid w:val="00166FEF"/>
    <w:rsid w:val="00173FC2"/>
    <w:rsid w:val="00175057"/>
    <w:rsid w:val="00196CD3"/>
    <w:rsid w:val="00200F8D"/>
    <w:rsid w:val="00213759"/>
    <w:rsid w:val="0026279A"/>
    <w:rsid w:val="002661D7"/>
    <w:rsid w:val="00272DA6"/>
    <w:rsid w:val="00275078"/>
    <w:rsid w:val="00286DE3"/>
    <w:rsid w:val="002B2C89"/>
    <w:rsid w:val="002C17ED"/>
    <w:rsid w:val="002C7DFD"/>
    <w:rsid w:val="002E448A"/>
    <w:rsid w:val="002E6AF3"/>
    <w:rsid w:val="00312DCB"/>
    <w:rsid w:val="00314823"/>
    <w:rsid w:val="003426B7"/>
    <w:rsid w:val="00353671"/>
    <w:rsid w:val="0039108C"/>
    <w:rsid w:val="003C18AF"/>
    <w:rsid w:val="003C5FB2"/>
    <w:rsid w:val="003F2FA8"/>
    <w:rsid w:val="004137A3"/>
    <w:rsid w:val="004166F9"/>
    <w:rsid w:val="00434F66"/>
    <w:rsid w:val="004A1767"/>
    <w:rsid w:val="004A5557"/>
    <w:rsid w:val="004C7F00"/>
    <w:rsid w:val="004D0A25"/>
    <w:rsid w:val="004D0B90"/>
    <w:rsid w:val="004E2749"/>
    <w:rsid w:val="004E75E9"/>
    <w:rsid w:val="004F5C4A"/>
    <w:rsid w:val="005354B5"/>
    <w:rsid w:val="005357FE"/>
    <w:rsid w:val="00537AC9"/>
    <w:rsid w:val="005520E3"/>
    <w:rsid w:val="00570215"/>
    <w:rsid w:val="00580B84"/>
    <w:rsid w:val="00582569"/>
    <w:rsid w:val="00593599"/>
    <w:rsid w:val="00596E5B"/>
    <w:rsid w:val="005970CC"/>
    <w:rsid w:val="005A24F2"/>
    <w:rsid w:val="005B5692"/>
    <w:rsid w:val="005C3753"/>
    <w:rsid w:val="005D3377"/>
    <w:rsid w:val="006324CB"/>
    <w:rsid w:val="00633217"/>
    <w:rsid w:val="0067474C"/>
    <w:rsid w:val="0068717C"/>
    <w:rsid w:val="00690F43"/>
    <w:rsid w:val="006C5F58"/>
    <w:rsid w:val="006D4C6E"/>
    <w:rsid w:val="00713256"/>
    <w:rsid w:val="00753AF7"/>
    <w:rsid w:val="007B3A2B"/>
    <w:rsid w:val="0080033A"/>
    <w:rsid w:val="00801CA7"/>
    <w:rsid w:val="008137CF"/>
    <w:rsid w:val="00826964"/>
    <w:rsid w:val="00847684"/>
    <w:rsid w:val="00851182"/>
    <w:rsid w:val="00851B78"/>
    <w:rsid w:val="008647B5"/>
    <w:rsid w:val="00875C63"/>
    <w:rsid w:val="00882D50"/>
    <w:rsid w:val="0088600E"/>
    <w:rsid w:val="008A3852"/>
    <w:rsid w:val="008E61C8"/>
    <w:rsid w:val="00902CEB"/>
    <w:rsid w:val="009037E0"/>
    <w:rsid w:val="009045E9"/>
    <w:rsid w:val="00910952"/>
    <w:rsid w:val="009147AE"/>
    <w:rsid w:val="009421B3"/>
    <w:rsid w:val="00944E3B"/>
    <w:rsid w:val="00962B3F"/>
    <w:rsid w:val="00992C29"/>
    <w:rsid w:val="00994095"/>
    <w:rsid w:val="00995D42"/>
    <w:rsid w:val="009A1E54"/>
    <w:rsid w:val="009B3710"/>
    <w:rsid w:val="009E2C38"/>
    <w:rsid w:val="009E6C35"/>
    <w:rsid w:val="00A07576"/>
    <w:rsid w:val="00A47C5C"/>
    <w:rsid w:val="00A53480"/>
    <w:rsid w:val="00AC1120"/>
    <w:rsid w:val="00AE3DD1"/>
    <w:rsid w:val="00B031D4"/>
    <w:rsid w:val="00B26FE1"/>
    <w:rsid w:val="00B37C10"/>
    <w:rsid w:val="00B67E4D"/>
    <w:rsid w:val="00B93245"/>
    <w:rsid w:val="00BC36DD"/>
    <w:rsid w:val="00BE557F"/>
    <w:rsid w:val="00C0121C"/>
    <w:rsid w:val="00C145EA"/>
    <w:rsid w:val="00C67A2E"/>
    <w:rsid w:val="00C706D2"/>
    <w:rsid w:val="00C92A40"/>
    <w:rsid w:val="00C97532"/>
    <w:rsid w:val="00CA0662"/>
    <w:rsid w:val="00D106F5"/>
    <w:rsid w:val="00D170F0"/>
    <w:rsid w:val="00D22FB3"/>
    <w:rsid w:val="00D351EB"/>
    <w:rsid w:val="00D51B71"/>
    <w:rsid w:val="00D752E0"/>
    <w:rsid w:val="00D77167"/>
    <w:rsid w:val="00D95E4E"/>
    <w:rsid w:val="00DA1704"/>
    <w:rsid w:val="00DC3B2A"/>
    <w:rsid w:val="00DE04DD"/>
    <w:rsid w:val="00DE23DD"/>
    <w:rsid w:val="00DF2FCD"/>
    <w:rsid w:val="00DF475B"/>
    <w:rsid w:val="00E1742D"/>
    <w:rsid w:val="00E5776E"/>
    <w:rsid w:val="00E72724"/>
    <w:rsid w:val="00E80529"/>
    <w:rsid w:val="00EA5D18"/>
    <w:rsid w:val="00EA7FEC"/>
    <w:rsid w:val="00ED552C"/>
    <w:rsid w:val="00F06E6F"/>
    <w:rsid w:val="00F2783A"/>
    <w:rsid w:val="00F30C89"/>
    <w:rsid w:val="00F30D85"/>
    <w:rsid w:val="00F5799F"/>
    <w:rsid w:val="00F66176"/>
    <w:rsid w:val="00F7247B"/>
    <w:rsid w:val="00F820C7"/>
    <w:rsid w:val="00FC6D6C"/>
    <w:rsid w:val="00FE7B4D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0B8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80B84"/>
    <w:pPr>
      <w:keepNext/>
      <w:spacing w:before="240" w:after="240"/>
      <w:jc w:val="center"/>
      <w:outlineLvl w:val="1"/>
    </w:pPr>
    <w:rPr>
      <w:rFonts w:eastAsia="Times New Roman"/>
      <w:b/>
      <w:bCs/>
      <w:iCs/>
      <w:cap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580B84"/>
    <w:pPr>
      <w:keepNext/>
      <w:keepLines/>
      <w:spacing w:before="200" w:after="240" w:line="360" w:lineRule="auto"/>
      <w:jc w:val="both"/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80B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0B84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B84"/>
    <w:rPr>
      <w:rFonts w:ascii="Times New Roman" w:eastAsia="Times New Roman" w:hAnsi="Times New Roman" w:cs="Times New Roman"/>
      <w:b/>
      <w:bCs/>
      <w:iCs/>
      <w:cap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580B84"/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B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80B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80B8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80B84"/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580B84"/>
    <w:pPr>
      <w:spacing w:after="100"/>
    </w:pPr>
  </w:style>
  <w:style w:type="character" w:styleId="a6">
    <w:name w:val="Hyperlink"/>
    <w:basedOn w:val="a0"/>
    <w:uiPriority w:val="99"/>
    <w:unhideWhenUsed/>
    <w:rsid w:val="00580B84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580B84"/>
    <w:pPr>
      <w:spacing w:after="100"/>
      <w:ind w:left="240"/>
    </w:pPr>
  </w:style>
  <w:style w:type="paragraph" w:customStyle="1" w:styleId="p">
    <w:name w:val="p"/>
    <w:basedOn w:val="a"/>
    <w:rsid w:val="00580B84"/>
    <w:pPr>
      <w:spacing w:before="48" w:after="48"/>
      <w:ind w:firstLine="480"/>
      <w:jc w:val="both"/>
    </w:pPr>
    <w:rPr>
      <w:rFonts w:eastAsia="Times New Roman"/>
    </w:rPr>
  </w:style>
  <w:style w:type="paragraph" w:customStyle="1" w:styleId="keywords">
    <w:name w:val="keywords"/>
    <w:basedOn w:val="a"/>
    <w:rsid w:val="00580B84"/>
    <w:pPr>
      <w:shd w:val="clear" w:color="auto" w:fill="FFFFE0"/>
      <w:spacing w:before="150" w:after="150"/>
      <w:ind w:left="150" w:right="150"/>
      <w:jc w:val="both"/>
    </w:pPr>
    <w:rPr>
      <w:rFonts w:ascii="Tahoma" w:eastAsia="Times New Roman" w:hAnsi="Tahoma" w:cs="Tahoma"/>
    </w:rPr>
  </w:style>
  <w:style w:type="paragraph" w:styleId="a7">
    <w:name w:val="Balloon Text"/>
    <w:basedOn w:val="a"/>
    <w:link w:val="a8"/>
    <w:uiPriority w:val="99"/>
    <w:semiHidden/>
    <w:unhideWhenUsed/>
    <w:rsid w:val="00580B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B84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80B84"/>
    <w:pPr>
      <w:spacing w:before="100" w:beforeAutospacing="1" w:after="100" w:afterAutospacing="1"/>
    </w:pPr>
    <w:rPr>
      <w:rFonts w:eastAsia="Times New Roman"/>
    </w:rPr>
  </w:style>
  <w:style w:type="table" w:styleId="aa">
    <w:name w:val="Table Grid"/>
    <w:basedOn w:val="a1"/>
    <w:uiPriority w:val="99"/>
    <w:rsid w:val="0058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single space,Знак Знак Знак,Текст сноски Знак1 Знак,Текст сноски Знак Знак Знак,Footnote Text Char Знак Знак,Footnote Text Char Знак,Текст сноски-FN,Oaeno niinee-FN,Oaeno niinee Ciae,Table_Footnote_last Знак,Table_Footnote_last Знак Знак"/>
    <w:basedOn w:val="a"/>
    <w:link w:val="12"/>
    <w:rsid w:val="00580B84"/>
    <w:rPr>
      <w:rFonts w:eastAsia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rsid w:val="00580B8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-FN,Знак сноски 1,Ciae niinee-FN,анкета сноска,Ciae niinee 1"/>
    <w:rsid w:val="00580B84"/>
    <w:rPr>
      <w:vertAlign w:val="superscript"/>
    </w:rPr>
  </w:style>
  <w:style w:type="character" w:customStyle="1" w:styleId="highlighthighlightactive">
    <w:name w:val="highlight highlight_active"/>
    <w:basedOn w:val="a0"/>
    <w:rsid w:val="00580B84"/>
  </w:style>
  <w:style w:type="paragraph" w:customStyle="1" w:styleId="ae">
    <w:name w:val="Знак"/>
    <w:basedOn w:val="a"/>
    <w:rsid w:val="00580B84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character" w:styleId="af">
    <w:name w:val="FollowedHyperlink"/>
    <w:uiPriority w:val="99"/>
    <w:rsid w:val="00580B84"/>
    <w:rPr>
      <w:color w:val="800080"/>
      <w:u w:val="single"/>
    </w:rPr>
  </w:style>
  <w:style w:type="paragraph" w:customStyle="1" w:styleId="bl0">
    <w:name w:val="bl0"/>
    <w:basedOn w:val="a"/>
    <w:rsid w:val="00580B84"/>
    <w:pP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style1">
    <w:name w:val="style1"/>
    <w:basedOn w:val="a"/>
    <w:rsid w:val="00580B84"/>
    <w:pPr>
      <w:spacing w:before="100" w:beforeAutospacing="1" w:after="100" w:afterAutospacing="1"/>
    </w:pPr>
    <w:rPr>
      <w:rFonts w:eastAsia="Times New Roman"/>
    </w:rPr>
  </w:style>
  <w:style w:type="character" w:styleId="af0">
    <w:name w:val="Emphasis"/>
    <w:qFormat/>
    <w:rsid w:val="00580B84"/>
    <w:rPr>
      <w:i/>
      <w:iCs/>
    </w:rPr>
  </w:style>
  <w:style w:type="character" w:customStyle="1" w:styleId="hl21">
    <w:name w:val="hl21"/>
    <w:rsid w:val="00580B84"/>
    <w:rPr>
      <w:b/>
      <w:bCs/>
      <w:sz w:val="24"/>
      <w:szCs w:val="24"/>
    </w:rPr>
  </w:style>
  <w:style w:type="paragraph" w:customStyle="1" w:styleId="31">
    <w:name w:val="Основной текст 31"/>
    <w:basedOn w:val="a"/>
    <w:rsid w:val="00580B84"/>
    <w:pPr>
      <w:widowControl w:val="0"/>
      <w:jc w:val="both"/>
    </w:pPr>
    <w:rPr>
      <w:rFonts w:eastAsia="Times New Roman"/>
      <w:szCs w:val="20"/>
    </w:rPr>
  </w:style>
  <w:style w:type="paragraph" w:customStyle="1" w:styleId="Default">
    <w:name w:val="Default"/>
    <w:rsid w:val="00580B8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580B84"/>
    <w:pPr>
      <w:jc w:val="both"/>
    </w:pPr>
    <w:rPr>
      <w:rFonts w:eastAsia="Times New Roman"/>
      <w:sz w:val="32"/>
      <w:szCs w:val="20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580B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ConsPlusNonformat">
    <w:name w:val="ConsPlusNonformat"/>
    <w:rsid w:val="00580B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B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qFormat/>
    <w:rsid w:val="00580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80B8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4">
    <w:name w:val="Знак Знак Знак Знак"/>
    <w:basedOn w:val="a"/>
    <w:rsid w:val="00580B84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 Знак Знак Знак1"/>
    <w:basedOn w:val="a"/>
    <w:rsid w:val="00580B8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580B84"/>
    <w:pPr>
      <w:spacing w:before="60" w:after="60"/>
      <w:ind w:left="60" w:right="60" w:firstLine="800"/>
      <w:jc w:val="both"/>
    </w:pPr>
    <w:rPr>
      <w:rFonts w:eastAsia="Times New Roman"/>
      <w:sz w:val="18"/>
      <w:szCs w:val="18"/>
    </w:rPr>
  </w:style>
  <w:style w:type="character" w:customStyle="1" w:styleId="12">
    <w:name w:val="Текст сноски Знак1"/>
    <w:aliases w:val="single space Знак,Знак Знак Знак Знак1,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"/>
    <w:link w:val="ab"/>
    <w:locked/>
    <w:rsid w:val="00580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580B8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580B8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80B8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80B84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paragraph" w:styleId="af5">
    <w:name w:val="header"/>
    <w:basedOn w:val="a"/>
    <w:link w:val="af6"/>
    <w:uiPriority w:val="99"/>
    <w:unhideWhenUsed/>
    <w:rsid w:val="00580B8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80B8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580B8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580B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580B84"/>
  </w:style>
  <w:style w:type="character" w:customStyle="1" w:styleId="A10">
    <w:name w:val="A1"/>
    <w:rsid w:val="00580B84"/>
    <w:rPr>
      <w:rFonts w:cs="Arial"/>
      <w:color w:val="000000"/>
      <w:sz w:val="20"/>
      <w:szCs w:val="20"/>
    </w:rPr>
  </w:style>
  <w:style w:type="paragraph" w:customStyle="1" w:styleId="16">
    <w:name w:val="Знак Знак Знак Знак Знак Знак Знак Знак Знак Знак1 Знак Знак Знак Знак Знак Знак Знак"/>
    <w:basedOn w:val="a"/>
    <w:rsid w:val="00580B8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580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uiPriority w:val="99"/>
    <w:semiHidden/>
    <w:unhideWhenUsed/>
    <w:rsid w:val="00580B84"/>
    <w:rPr>
      <w:rFonts w:eastAsia="Times New Roman"/>
      <w:sz w:val="20"/>
      <w:szCs w:val="20"/>
    </w:rPr>
  </w:style>
  <w:style w:type="character" w:customStyle="1" w:styleId="17">
    <w:name w:val="Текст концевой сноски Знак1"/>
    <w:basedOn w:val="a0"/>
    <w:uiPriority w:val="99"/>
    <w:semiHidden/>
    <w:rsid w:val="00580B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4">
    <w:name w:val="Body Text Indent 2"/>
    <w:aliases w:val=" Знак1"/>
    <w:basedOn w:val="a"/>
    <w:link w:val="25"/>
    <w:rsid w:val="00580B84"/>
    <w:pPr>
      <w:spacing w:after="120" w:line="480" w:lineRule="auto"/>
      <w:ind w:left="283"/>
    </w:pPr>
    <w:rPr>
      <w:rFonts w:eastAsia="Times New Roman"/>
    </w:rPr>
  </w:style>
  <w:style w:type="character" w:customStyle="1" w:styleId="25">
    <w:name w:val="Основной текст с отступом 2 Знак"/>
    <w:aliases w:val=" Знак1 Знак"/>
    <w:basedOn w:val="a0"/>
    <w:link w:val="24"/>
    <w:rsid w:val="00580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580B84"/>
    <w:pPr>
      <w:spacing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</w:rPr>
  </w:style>
  <w:style w:type="paragraph" w:styleId="afb">
    <w:name w:val="Plain Text"/>
    <w:basedOn w:val="a"/>
    <w:link w:val="afc"/>
    <w:uiPriority w:val="99"/>
    <w:rsid w:val="00580B84"/>
    <w:rPr>
      <w:rFonts w:ascii="Courier New" w:eastAsia="Times New Roman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580B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0B84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ableFootnotelast11">
    <w:name w:val="Table_Footnote_last Знак Знак11"/>
    <w:aliases w:val="Table_Footnote_last Знак Знак Знак1,Table_Footnote_last Знак Знак2"/>
    <w:basedOn w:val="a0"/>
    <w:uiPriority w:val="99"/>
    <w:rsid w:val="00580B84"/>
    <w:rPr>
      <w:rFonts w:cs="Times New Roman"/>
      <w:lang w:val="ru-RU" w:eastAsia="ru-RU" w:bidi="ar-SA"/>
    </w:rPr>
  </w:style>
  <w:style w:type="character" w:customStyle="1" w:styleId="apple-converted-space">
    <w:name w:val="apple-converted-space"/>
    <w:uiPriority w:val="99"/>
    <w:rsid w:val="00580B84"/>
  </w:style>
  <w:style w:type="paragraph" w:customStyle="1" w:styleId="Style37">
    <w:name w:val="Style37"/>
    <w:basedOn w:val="a"/>
    <w:rsid w:val="00580B84"/>
    <w:pPr>
      <w:spacing w:line="248" w:lineRule="exact"/>
      <w:ind w:firstLine="288"/>
      <w:jc w:val="both"/>
    </w:pPr>
    <w:rPr>
      <w:rFonts w:eastAsia="Times New Roman"/>
      <w:sz w:val="20"/>
      <w:szCs w:val="20"/>
    </w:rPr>
  </w:style>
  <w:style w:type="paragraph" w:styleId="afd">
    <w:name w:val="Title"/>
    <w:basedOn w:val="a"/>
    <w:next w:val="a"/>
    <w:link w:val="afe"/>
    <w:uiPriority w:val="10"/>
    <w:qFormat/>
    <w:rsid w:val="00580B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uiPriority w:val="10"/>
    <w:rsid w:val="00580B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f">
    <w:name w:val="Placeholder Text"/>
    <w:basedOn w:val="a0"/>
    <w:uiPriority w:val="99"/>
    <w:semiHidden/>
    <w:rsid w:val="00580B84"/>
    <w:rPr>
      <w:color w:val="808080"/>
    </w:rPr>
  </w:style>
  <w:style w:type="paragraph" w:customStyle="1" w:styleId="220">
    <w:name w:val="Основной текст 22"/>
    <w:basedOn w:val="a"/>
    <w:rsid w:val="00580B84"/>
    <w:pPr>
      <w:widowControl w:val="0"/>
      <w:jc w:val="both"/>
    </w:pPr>
    <w:rPr>
      <w:rFonts w:eastAsia="Times New Roman"/>
      <w:sz w:val="26"/>
      <w:szCs w:val="20"/>
    </w:rPr>
  </w:style>
  <w:style w:type="character" w:styleId="aff0">
    <w:name w:val="Strong"/>
    <w:basedOn w:val="a0"/>
    <w:uiPriority w:val="22"/>
    <w:qFormat/>
    <w:rsid w:val="00580B84"/>
    <w:rPr>
      <w:b/>
      <w:bCs/>
    </w:rPr>
  </w:style>
  <w:style w:type="paragraph" w:customStyle="1" w:styleId="FooterOdd">
    <w:name w:val="Footer Odd"/>
    <w:basedOn w:val="a"/>
    <w:qFormat/>
    <w:rsid w:val="00580B84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styleId="32">
    <w:name w:val="toc 3"/>
    <w:basedOn w:val="a"/>
    <w:next w:val="a"/>
    <w:autoRedefine/>
    <w:uiPriority w:val="39"/>
    <w:unhideWhenUsed/>
    <w:rsid w:val="00580B84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0B8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80B84"/>
    <w:pPr>
      <w:keepNext/>
      <w:spacing w:before="240" w:after="240"/>
      <w:jc w:val="center"/>
      <w:outlineLvl w:val="1"/>
    </w:pPr>
    <w:rPr>
      <w:rFonts w:eastAsia="Times New Roman"/>
      <w:b/>
      <w:bCs/>
      <w:iCs/>
      <w:cap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580B84"/>
    <w:pPr>
      <w:keepNext/>
      <w:keepLines/>
      <w:spacing w:before="200" w:after="240" w:line="360" w:lineRule="auto"/>
      <w:jc w:val="both"/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80B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0B84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B84"/>
    <w:rPr>
      <w:rFonts w:ascii="Times New Roman" w:eastAsia="Times New Roman" w:hAnsi="Times New Roman" w:cs="Times New Roman"/>
      <w:b/>
      <w:bCs/>
      <w:iCs/>
      <w:cap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580B84"/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B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80B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80B8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80B84"/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580B84"/>
    <w:pPr>
      <w:spacing w:after="100"/>
    </w:pPr>
  </w:style>
  <w:style w:type="character" w:styleId="a6">
    <w:name w:val="Hyperlink"/>
    <w:basedOn w:val="a0"/>
    <w:uiPriority w:val="99"/>
    <w:unhideWhenUsed/>
    <w:rsid w:val="00580B84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580B84"/>
    <w:pPr>
      <w:spacing w:after="100"/>
      <w:ind w:left="240"/>
    </w:pPr>
  </w:style>
  <w:style w:type="paragraph" w:customStyle="1" w:styleId="p">
    <w:name w:val="p"/>
    <w:basedOn w:val="a"/>
    <w:rsid w:val="00580B84"/>
    <w:pPr>
      <w:spacing w:before="48" w:after="48"/>
      <w:ind w:firstLine="480"/>
      <w:jc w:val="both"/>
    </w:pPr>
    <w:rPr>
      <w:rFonts w:eastAsia="Times New Roman"/>
    </w:rPr>
  </w:style>
  <w:style w:type="paragraph" w:customStyle="1" w:styleId="keywords">
    <w:name w:val="keywords"/>
    <w:basedOn w:val="a"/>
    <w:rsid w:val="00580B84"/>
    <w:pPr>
      <w:shd w:val="clear" w:color="auto" w:fill="FFFFE0"/>
      <w:spacing w:before="150" w:after="150"/>
      <w:ind w:left="150" w:right="150"/>
      <w:jc w:val="both"/>
    </w:pPr>
    <w:rPr>
      <w:rFonts w:ascii="Tahoma" w:eastAsia="Times New Roman" w:hAnsi="Tahoma" w:cs="Tahoma"/>
    </w:rPr>
  </w:style>
  <w:style w:type="paragraph" w:styleId="a7">
    <w:name w:val="Balloon Text"/>
    <w:basedOn w:val="a"/>
    <w:link w:val="a8"/>
    <w:uiPriority w:val="99"/>
    <w:semiHidden/>
    <w:unhideWhenUsed/>
    <w:rsid w:val="00580B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B84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80B84"/>
    <w:pPr>
      <w:spacing w:before="100" w:beforeAutospacing="1" w:after="100" w:afterAutospacing="1"/>
    </w:pPr>
    <w:rPr>
      <w:rFonts w:eastAsia="Times New Roman"/>
    </w:rPr>
  </w:style>
  <w:style w:type="table" w:styleId="aa">
    <w:name w:val="Table Grid"/>
    <w:basedOn w:val="a1"/>
    <w:uiPriority w:val="99"/>
    <w:rsid w:val="0058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single space,Знак Знак Знак,Текст сноски Знак1 Знак,Текст сноски Знак Знак Знак,Footnote Text Char Знак Знак,Footnote Text Char Знак,Текст сноски-FN,Oaeno niinee-FN,Oaeno niinee Ciae,Table_Footnote_last Знак,Table_Footnote_last Знак Знак"/>
    <w:basedOn w:val="a"/>
    <w:link w:val="12"/>
    <w:rsid w:val="00580B84"/>
    <w:rPr>
      <w:rFonts w:eastAsia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rsid w:val="00580B8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-FN,Знак сноски 1,Ciae niinee-FN,анкета сноска,Ciae niinee 1"/>
    <w:rsid w:val="00580B84"/>
    <w:rPr>
      <w:vertAlign w:val="superscript"/>
    </w:rPr>
  </w:style>
  <w:style w:type="character" w:customStyle="1" w:styleId="highlighthighlightactive">
    <w:name w:val="highlight highlight_active"/>
    <w:basedOn w:val="a0"/>
    <w:rsid w:val="00580B84"/>
  </w:style>
  <w:style w:type="paragraph" w:customStyle="1" w:styleId="ae">
    <w:name w:val="Знак"/>
    <w:basedOn w:val="a"/>
    <w:rsid w:val="00580B84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character" w:styleId="af">
    <w:name w:val="FollowedHyperlink"/>
    <w:uiPriority w:val="99"/>
    <w:rsid w:val="00580B84"/>
    <w:rPr>
      <w:color w:val="800080"/>
      <w:u w:val="single"/>
    </w:rPr>
  </w:style>
  <w:style w:type="paragraph" w:customStyle="1" w:styleId="bl0">
    <w:name w:val="bl0"/>
    <w:basedOn w:val="a"/>
    <w:rsid w:val="00580B84"/>
    <w:pP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style1">
    <w:name w:val="style1"/>
    <w:basedOn w:val="a"/>
    <w:rsid w:val="00580B84"/>
    <w:pPr>
      <w:spacing w:before="100" w:beforeAutospacing="1" w:after="100" w:afterAutospacing="1"/>
    </w:pPr>
    <w:rPr>
      <w:rFonts w:eastAsia="Times New Roman"/>
    </w:rPr>
  </w:style>
  <w:style w:type="character" w:styleId="af0">
    <w:name w:val="Emphasis"/>
    <w:qFormat/>
    <w:rsid w:val="00580B84"/>
    <w:rPr>
      <w:i/>
      <w:iCs/>
    </w:rPr>
  </w:style>
  <w:style w:type="character" w:customStyle="1" w:styleId="hl21">
    <w:name w:val="hl21"/>
    <w:rsid w:val="00580B84"/>
    <w:rPr>
      <w:b/>
      <w:bCs/>
      <w:sz w:val="24"/>
      <w:szCs w:val="24"/>
    </w:rPr>
  </w:style>
  <w:style w:type="paragraph" w:customStyle="1" w:styleId="31">
    <w:name w:val="Основной текст 31"/>
    <w:basedOn w:val="a"/>
    <w:rsid w:val="00580B84"/>
    <w:pPr>
      <w:widowControl w:val="0"/>
      <w:jc w:val="both"/>
    </w:pPr>
    <w:rPr>
      <w:rFonts w:eastAsia="Times New Roman"/>
      <w:szCs w:val="20"/>
    </w:rPr>
  </w:style>
  <w:style w:type="paragraph" w:customStyle="1" w:styleId="Default">
    <w:name w:val="Default"/>
    <w:rsid w:val="00580B8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580B84"/>
    <w:pPr>
      <w:jc w:val="both"/>
    </w:pPr>
    <w:rPr>
      <w:rFonts w:eastAsia="Times New Roman"/>
      <w:sz w:val="32"/>
      <w:szCs w:val="20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580B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ConsPlusNonformat">
    <w:name w:val="ConsPlusNonformat"/>
    <w:rsid w:val="00580B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B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qFormat/>
    <w:rsid w:val="00580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80B8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4">
    <w:name w:val="Знак Знак Знак Знак"/>
    <w:basedOn w:val="a"/>
    <w:rsid w:val="00580B84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 Знак Знак Знак1"/>
    <w:basedOn w:val="a"/>
    <w:rsid w:val="00580B8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580B84"/>
    <w:pPr>
      <w:spacing w:before="60" w:after="60"/>
      <w:ind w:left="60" w:right="60" w:firstLine="800"/>
      <w:jc w:val="both"/>
    </w:pPr>
    <w:rPr>
      <w:rFonts w:eastAsia="Times New Roman"/>
      <w:sz w:val="18"/>
      <w:szCs w:val="18"/>
    </w:rPr>
  </w:style>
  <w:style w:type="character" w:customStyle="1" w:styleId="12">
    <w:name w:val="Текст сноски Знак1"/>
    <w:aliases w:val="single space Знак,Знак Знак Знак Знак1,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"/>
    <w:link w:val="ab"/>
    <w:locked/>
    <w:rsid w:val="00580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580B8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580B8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80B8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80B84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paragraph" w:styleId="af5">
    <w:name w:val="header"/>
    <w:basedOn w:val="a"/>
    <w:link w:val="af6"/>
    <w:uiPriority w:val="99"/>
    <w:unhideWhenUsed/>
    <w:rsid w:val="00580B8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80B8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580B8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580B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580B84"/>
  </w:style>
  <w:style w:type="character" w:customStyle="1" w:styleId="A10">
    <w:name w:val="A1"/>
    <w:rsid w:val="00580B84"/>
    <w:rPr>
      <w:rFonts w:cs="Arial"/>
      <w:color w:val="000000"/>
      <w:sz w:val="20"/>
      <w:szCs w:val="20"/>
    </w:rPr>
  </w:style>
  <w:style w:type="paragraph" w:customStyle="1" w:styleId="16">
    <w:name w:val="Знак Знак Знак Знак Знак Знак Знак Знак Знак Знак1 Знак Знак Знак Знак Знак Знак Знак"/>
    <w:basedOn w:val="a"/>
    <w:rsid w:val="00580B8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580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uiPriority w:val="99"/>
    <w:semiHidden/>
    <w:unhideWhenUsed/>
    <w:rsid w:val="00580B84"/>
    <w:rPr>
      <w:rFonts w:eastAsia="Times New Roman"/>
      <w:sz w:val="20"/>
      <w:szCs w:val="20"/>
    </w:rPr>
  </w:style>
  <w:style w:type="character" w:customStyle="1" w:styleId="17">
    <w:name w:val="Текст концевой сноски Знак1"/>
    <w:basedOn w:val="a0"/>
    <w:uiPriority w:val="99"/>
    <w:semiHidden/>
    <w:rsid w:val="00580B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4">
    <w:name w:val="Body Text Indent 2"/>
    <w:aliases w:val=" Знак1"/>
    <w:basedOn w:val="a"/>
    <w:link w:val="25"/>
    <w:rsid w:val="00580B84"/>
    <w:pPr>
      <w:spacing w:after="120" w:line="480" w:lineRule="auto"/>
      <w:ind w:left="283"/>
    </w:pPr>
    <w:rPr>
      <w:rFonts w:eastAsia="Times New Roman"/>
    </w:rPr>
  </w:style>
  <w:style w:type="character" w:customStyle="1" w:styleId="25">
    <w:name w:val="Основной текст с отступом 2 Знак"/>
    <w:aliases w:val=" Знак1 Знак"/>
    <w:basedOn w:val="a0"/>
    <w:link w:val="24"/>
    <w:rsid w:val="00580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580B84"/>
    <w:pPr>
      <w:spacing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</w:rPr>
  </w:style>
  <w:style w:type="paragraph" w:styleId="afb">
    <w:name w:val="Plain Text"/>
    <w:basedOn w:val="a"/>
    <w:link w:val="afc"/>
    <w:uiPriority w:val="99"/>
    <w:rsid w:val="00580B84"/>
    <w:rPr>
      <w:rFonts w:ascii="Courier New" w:eastAsia="Times New Roman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580B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0B84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ableFootnotelast11">
    <w:name w:val="Table_Footnote_last Знак Знак11"/>
    <w:aliases w:val="Table_Footnote_last Знак Знак Знак1,Table_Footnote_last Знак Знак2"/>
    <w:basedOn w:val="a0"/>
    <w:uiPriority w:val="99"/>
    <w:rsid w:val="00580B84"/>
    <w:rPr>
      <w:rFonts w:cs="Times New Roman"/>
      <w:lang w:val="ru-RU" w:eastAsia="ru-RU" w:bidi="ar-SA"/>
    </w:rPr>
  </w:style>
  <w:style w:type="character" w:customStyle="1" w:styleId="apple-converted-space">
    <w:name w:val="apple-converted-space"/>
    <w:uiPriority w:val="99"/>
    <w:rsid w:val="00580B84"/>
  </w:style>
  <w:style w:type="paragraph" w:customStyle="1" w:styleId="Style37">
    <w:name w:val="Style37"/>
    <w:basedOn w:val="a"/>
    <w:rsid w:val="00580B84"/>
    <w:pPr>
      <w:spacing w:line="248" w:lineRule="exact"/>
      <w:ind w:firstLine="288"/>
      <w:jc w:val="both"/>
    </w:pPr>
    <w:rPr>
      <w:rFonts w:eastAsia="Times New Roman"/>
      <w:sz w:val="20"/>
      <w:szCs w:val="20"/>
    </w:rPr>
  </w:style>
  <w:style w:type="paragraph" w:styleId="afd">
    <w:name w:val="Title"/>
    <w:basedOn w:val="a"/>
    <w:next w:val="a"/>
    <w:link w:val="afe"/>
    <w:uiPriority w:val="10"/>
    <w:qFormat/>
    <w:rsid w:val="00580B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uiPriority w:val="10"/>
    <w:rsid w:val="00580B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f">
    <w:name w:val="Placeholder Text"/>
    <w:basedOn w:val="a0"/>
    <w:uiPriority w:val="99"/>
    <w:semiHidden/>
    <w:rsid w:val="00580B84"/>
    <w:rPr>
      <w:color w:val="808080"/>
    </w:rPr>
  </w:style>
  <w:style w:type="paragraph" w:customStyle="1" w:styleId="220">
    <w:name w:val="Основной текст 22"/>
    <w:basedOn w:val="a"/>
    <w:rsid w:val="00580B84"/>
    <w:pPr>
      <w:widowControl w:val="0"/>
      <w:jc w:val="both"/>
    </w:pPr>
    <w:rPr>
      <w:rFonts w:eastAsia="Times New Roman"/>
      <w:sz w:val="26"/>
      <w:szCs w:val="20"/>
    </w:rPr>
  </w:style>
  <w:style w:type="character" w:styleId="aff0">
    <w:name w:val="Strong"/>
    <w:basedOn w:val="a0"/>
    <w:uiPriority w:val="22"/>
    <w:qFormat/>
    <w:rsid w:val="00580B84"/>
    <w:rPr>
      <w:b/>
      <w:bCs/>
    </w:rPr>
  </w:style>
  <w:style w:type="paragraph" w:customStyle="1" w:styleId="FooterOdd">
    <w:name w:val="Footer Odd"/>
    <w:basedOn w:val="a"/>
    <w:qFormat/>
    <w:rsid w:val="00580B84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styleId="32">
    <w:name w:val="toc 3"/>
    <w:basedOn w:val="a"/>
    <w:next w:val="a"/>
    <w:autoRedefine/>
    <w:uiPriority w:val="39"/>
    <w:unhideWhenUsed/>
    <w:rsid w:val="00580B84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1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usefold\map\Documents\&#1044;&#1080;&#1089;&#1089;&#1077;&#1088;&#1090;&#1072;&#1094;&#1080;&#1103;\!&#1044;&#1054;&#1050;&#1058;&#1054;&#1056;%20&#1053;&#1040;&#1059;&#1050;\&#1056;&#1072;&#1089;&#1095;&#1077;&#1090;&#1099;%20&#1075;&#1086;&#1088;&#1086;&#1076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dLbls>
            <c:dLbl>
              <c:idx val="1"/>
              <c:layout>
                <c:manualLayout>
                  <c:x val="-9.9378881987577643E-3"/>
                  <c:y val="-2.9121160076953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3126293995859243E-2"/>
                  <c:y val="-4.99219887033483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9813664596273291E-2"/>
                  <c:y val="-5.8242320153906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4844720496894408E-2"/>
                  <c:y val="-5.8242320153906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157349896480392E-2"/>
                  <c:y val="-4.99219887033483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4906832298136706E-2"/>
                  <c:y val="-7.4882983055022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318840579710145E-2"/>
                  <c:y val="-6.240248587918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4844720496894408E-2"/>
                  <c:y val="-5.4082154428627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8157349896480333E-2"/>
                  <c:y val="-6.240248587918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650103519668737E-2"/>
                  <c:y val="-5.8242320153906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9813664596273291E-2"/>
                  <c:y val="-6.240248587918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spPr>
              <a:solidFill>
                <a:srgbClr val="FCFDFE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Лист2!$A$1:$A$14</c:f>
              <c:strCache>
                <c:ptCount val="14"/>
                <c:pt idx="0">
                  <c:v>2005 г.</c:v>
                </c:pt>
                <c:pt idx="1">
                  <c:v>2006 г.</c:v>
                </c:pt>
                <c:pt idx="2">
                  <c:v>2007 г.</c:v>
                </c:pt>
                <c:pt idx="3">
                  <c:v>2008 г.</c:v>
                </c:pt>
                <c:pt idx="4">
                  <c:v>2009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  <c:pt idx="8">
                  <c:v>2013 г.</c:v>
                </c:pt>
                <c:pt idx="9">
                  <c:v>2014 г.</c:v>
                </c:pt>
                <c:pt idx="10">
                  <c:v>2015 г.</c:v>
                </c:pt>
                <c:pt idx="11">
                  <c:v>2016 г.</c:v>
                </c:pt>
                <c:pt idx="12">
                  <c:v>2017 г.</c:v>
                </c:pt>
                <c:pt idx="13">
                  <c:v>2018 г.</c:v>
                </c:pt>
              </c:strCache>
            </c:strRef>
          </c:cat>
          <c:val>
            <c:numRef>
              <c:f>Лист2!$B$1:$B$14</c:f>
              <c:numCache>
                <c:formatCode>General</c:formatCode>
                <c:ptCount val="14"/>
                <c:pt idx="0">
                  <c:v>0.74</c:v>
                </c:pt>
                <c:pt idx="1">
                  <c:v>0.31</c:v>
                </c:pt>
                <c:pt idx="2">
                  <c:v>0.25</c:v>
                </c:pt>
                <c:pt idx="3">
                  <c:v>0.55000000000000004</c:v>
                </c:pt>
                <c:pt idx="4">
                  <c:v>0.53</c:v>
                </c:pt>
                <c:pt idx="5">
                  <c:v>0.53</c:v>
                </c:pt>
                <c:pt idx="6">
                  <c:v>0.52</c:v>
                </c:pt>
                <c:pt idx="7">
                  <c:v>0.4</c:v>
                </c:pt>
                <c:pt idx="8">
                  <c:v>0.4</c:v>
                </c:pt>
                <c:pt idx="9">
                  <c:v>0.39</c:v>
                </c:pt>
                <c:pt idx="10">
                  <c:v>0.35</c:v>
                </c:pt>
                <c:pt idx="11">
                  <c:v>0.33</c:v>
                </c:pt>
                <c:pt idx="12">
                  <c:v>0.33</c:v>
                </c:pt>
                <c:pt idx="13" formatCode="0.00">
                  <c:v>0.32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048512"/>
        <c:axId val="140531584"/>
      </c:lineChart>
      <c:catAx>
        <c:axId val="84048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40531584"/>
        <c:crosses val="autoZero"/>
        <c:auto val="1"/>
        <c:lblAlgn val="ctr"/>
        <c:lblOffset val="100"/>
        <c:noMultiLvlLbl val="0"/>
      </c:catAx>
      <c:valAx>
        <c:axId val="140531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048512"/>
        <c:crosses val="autoZero"/>
        <c:crossBetween val="between"/>
      </c:valAx>
      <c:spPr>
        <a:solidFill>
          <a:srgbClr val="FCFDFE"/>
        </a:solidFill>
      </c:spPr>
    </c:plotArea>
    <c:plotVisOnly val="1"/>
    <c:dispBlanksAs val="gap"/>
    <c:showDLblsOverMax val="0"/>
  </c:chart>
  <c:spPr>
    <a:solidFill>
      <a:srgbClr val="FCFDFE"/>
    </a:solidFill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3A38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7201-1A8E-41A1-9DD5-63C1506D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6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Печенская</dc:creator>
  <cp:keywords/>
  <dc:description/>
  <cp:lastModifiedBy>Мария А. Печенская</cp:lastModifiedBy>
  <cp:revision>80</cp:revision>
  <cp:lastPrinted>2019-04-30T10:23:00Z</cp:lastPrinted>
  <dcterms:created xsi:type="dcterms:W3CDTF">2019-04-22T11:01:00Z</dcterms:created>
  <dcterms:modified xsi:type="dcterms:W3CDTF">2019-05-14T12:56:00Z</dcterms:modified>
</cp:coreProperties>
</file>