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21DF" w:rsidRPr="000346E6" w:rsidRDefault="00FC21DF" w:rsidP="00FC21DF">
      <w:r w:rsidRPr="000346E6">
        <w:t>УДК 336.221</w:t>
      </w:r>
    </w:p>
    <w:p w:rsidR="00FC21DF" w:rsidRPr="00715A01" w:rsidRDefault="00FC21DF" w:rsidP="00FC21DF">
      <w:pPr>
        <w:jc w:val="right"/>
        <w:rPr>
          <w:b/>
        </w:rPr>
      </w:pPr>
      <w:r>
        <w:rPr>
          <w:b/>
        </w:rPr>
        <w:t>Васильева Т.С.</w:t>
      </w:r>
    </w:p>
    <w:p w:rsidR="00FC21DF" w:rsidRPr="005E562F" w:rsidRDefault="00FC21DF" w:rsidP="00347EC2">
      <w:pPr>
        <w:jc w:val="center"/>
        <w:rPr>
          <w:b/>
          <w:caps/>
        </w:rPr>
      </w:pPr>
      <w:r w:rsidRPr="005E562F">
        <w:rPr>
          <w:b/>
          <w:caps/>
        </w:rPr>
        <w:t xml:space="preserve">К вопросу определения сущности налогового потенциала в рамках основных </w:t>
      </w:r>
      <w:r w:rsidR="00347EC2" w:rsidRPr="005E562F">
        <w:rPr>
          <w:b/>
          <w:caps/>
        </w:rPr>
        <w:t>п</w:t>
      </w:r>
      <w:r w:rsidRPr="005E562F">
        <w:rPr>
          <w:b/>
          <w:caps/>
        </w:rPr>
        <w:t>одходов</w:t>
      </w:r>
      <w:r w:rsidR="00347EC2" w:rsidRPr="005E562F">
        <w:rPr>
          <w:b/>
          <w:caps/>
        </w:rPr>
        <w:t>.</w:t>
      </w:r>
    </w:p>
    <w:p w:rsidR="00347EC2" w:rsidRDefault="00347EC2" w:rsidP="00FC21DF">
      <w:pPr>
        <w:jc w:val="both"/>
        <w:rPr>
          <w:b/>
        </w:rPr>
      </w:pPr>
    </w:p>
    <w:p w:rsidR="00FC21DF" w:rsidRPr="00DB500E" w:rsidRDefault="00FC21DF" w:rsidP="00834231">
      <w:pPr>
        <w:ind w:firstLine="709"/>
        <w:jc w:val="both"/>
        <w:rPr>
          <w:i/>
        </w:rPr>
      </w:pPr>
      <w:r>
        <w:rPr>
          <w:b/>
        </w:rPr>
        <w:t xml:space="preserve">Аннотация: </w:t>
      </w:r>
      <w:r w:rsidRPr="00DB500E">
        <w:rPr>
          <w:i/>
        </w:rPr>
        <w:t>В работе</w:t>
      </w:r>
      <w:r w:rsidR="00B12B94" w:rsidRPr="00DB500E">
        <w:rPr>
          <w:i/>
        </w:rPr>
        <w:t xml:space="preserve"> проанализированы мнения разных авторов по обоснованию экономической сущности</w:t>
      </w:r>
      <w:r w:rsidR="00347EC2" w:rsidRPr="00DB500E">
        <w:rPr>
          <w:i/>
        </w:rPr>
        <w:t xml:space="preserve"> </w:t>
      </w:r>
      <w:r w:rsidR="00E86471" w:rsidRPr="00DB500E">
        <w:rPr>
          <w:i/>
        </w:rPr>
        <w:t>налогового потенциала в рамках ресурсного, фискаль</w:t>
      </w:r>
      <w:r w:rsidR="00050EA0">
        <w:rPr>
          <w:i/>
        </w:rPr>
        <w:t>ного, межбюджетного</w:t>
      </w:r>
      <w:r w:rsidR="00E86471" w:rsidRPr="00DB500E">
        <w:rPr>
          <w:i/>
        </w:rPr>
        <w:t xml:space="preserve"> подходов.</w:t>
      </w:r>
      <w:r w:rsidR="007F4AEF" w:rsidRPr="00DB500E">
        <w:rPr>
          <w:i/>
        </w:rPr>
        <w:t xml:space="preserve"> Выявлены главные различия между </w:t>
      </w:r>
      <w:r w:rsidR="00D95636" w:rsidRPr="00DB500E">
        <w:rPr>
          <w:i/>
        </w:rPr>
        <w:t>ними</w:t>
      </w:r>
      <w:r w:rsidR="007F4AEF" w:rsidRPr="00DB500E">
        <w:rPr>
          <w:i/>
        </w:rPr>
        <w:t>.</w:t>
      </w:r>
    </w:p>
    <w:p w:rsidR="00347EC2" w:rsidRDefault="00347EC2" w:rsidP="005E562F">
      <w:pPr>
        <w:jc w:val="both"/>
        <w:rPr>
          <w:b/>
        </w:rPr>
      </w:pPr>
    </w:p>
    <w:p w:rsidR="00FC21DF" w:rsidRPr="00DB500E" w:rsidRDefault="00FC21DF" w:rsidP="00834231">
      <w:pPr>
        <w:ind w:firstLine="709"/>
        <w:jc w:val="both"/>
        <w:rPr>
          <w:i/>
        </w:rPr>
      </w:pPr>
      <w:r w:rsidRPr="008D7408">
        <w:rPr>
          <w:b/>
        </w:rPr>
        <w:t>Ключевые слова:</w:t>
      </w:r>
      <w:r w:rsidRPr="008D7408">
        <w:t xml:space="preserve"> </w:t>
      </w:r>
      <w:r w:rsidR="00B12B94" w:rsidRPr="00DB500E">
        <w:rPr>
          <w:i/>
        </w:rPr>
        <w:t>потенциал, налоговый потенциал, ресурсный подход</w:t>
      </w:r>
      <w:r w:rsidR="0081276F">
        <w:rPr>
          <w:i/>
        </w:rPr>
        <w:t>, фискальный подход, межбюджетный</w:t>
      </w:r>
      <w:r w:rsidR="00B12B94" w:rsidRPr="00DB500E">
        <w:rPr>
          <w:i/>
        </w:rPr>
        <w:t xml:space="preserve"> подход.</w:t>
      </w:r>
    </w:p>
    <w:p w:rsidR="00347EC2" w:rsidRDefault="00347EC2" w:rsidP="005E562F">
      <w:pPr>
        <w:ind w:firstLine="709"/>
        <w:jc w:val="both"/>
      </w:pPr>
    </w:p>
    <w:p w:rsidR="00FC21DF" w:rsidRDefault="00FC21DF" w:rsidP="005E562F">
      <w:pPr>
        <w:ind w:firstLine="709"/>
        <w:jc w:val="both"/>
      </w:pPr>
      <w:r w:rsidRPr="00200F93">
        <w:t>В современных экономических условиях становления и развития новой системы управления рыночной экономикой возрастает значение применения рычагов и стимулов влияния на повышение эффективности функционирования бюджетов на различных уровнях. Главным источником формирования дохода бюджета государства являются налоговые поступления, от которых  зависит обеспечение общественно необходимых и законодательно установленных потребностей.</w:t>
      </w:r>
      <w:r w:rsidRPr="00200F93">
        <w:rPr>
          <w:shd w:val="clear" w:color="auto" w:fill="FFFFFF"/>
        </w:rPr>
        <w:t xml:space="preserve"> А так как ставки налогов, уровень налоговых поступлений, налоговое администрирование и налоговый потенциал существенно влияют на возможности и качество экономического роста региона</w:t>
      </w:r>
      <w:r w:rsidRPr="00200F93">
        <w:t>, следует рассмотреть налоговый потенциал более подробно.</w:t>
      </w:r>
    </w:p>
    <w:p w:rsidR="00FC21DF" w:rsidRPr="00200F93" w:rsidRDefault="00FC21DF" w:rsidP="005E562F">
      <w:pPr>
        <w:ind w:firstLine="709"/>
        <w:jc w:val="both"/>
      </w:pPr>
      <w:r w:rsidRPr="00200F93">
        <w:rPr>
          <w:color w:val="000000"/>
          <w:shd w:val="clear" w:color="auto" w:fill="FFFFFF"/>
        </w:rPr>
        <w:t>Прежде всего, следует выяснить, что лежит в основе термина</w:t>
      </w:r>
      <w:r w:rsidRPr="00200F93">
        <w:t xml:space="preserve"> «потенциал».  Происхождение данного слова от латинского </w:t>
      </w:r>
      <w:r w:rsidRPr="00200F93">
        <w:rPr>
          <w:lang w:val="en-US"/>
        </w:rPr>
        <w:t>potential</w:t>
      </w:r>
      <w:r w:rsidR="00E64090">
        <w:t xml:space="preserve"> – значит «сила, мощь», </w:t>
      </w:r>
      <w:r w:rsidR="00E64090" w:rsidRPr="00E64090">
        <w:t>обозначает возможность, мощность и трактуется как степень скрытых возможностей в каком-либо отношении.</w:t>
      </w:r>
      <w:r w:rsidR="00E64090">
        <w:t xml:space="preserve"> Так, </w:t>
      </w:r>
      <w:r w:rsidRPr="00200F93">
        <w:t>в первом приближении можно определить налоговый потенциал как налоговые ресурсы или совокупность возможностей по аккумулированию налоговой базы</w:t>
      </w:r>
      <w:r w:rsidR="003171AA" w:rsidRPr="003171AA">
        <w:t xml:space="preserve"> [</w:t>
      </w:r>
      <w:r w:rsidR="003171AA">
        <w:fldChar w:fldCharType="begin"/>
      </w:r>
      <w:r w:rsidR="003171AA">
        <w:instrText xml:space="preserve"> REF _Ref8731849 \r \h </w:instrText>
      </w:r>
      <w:r w:rsidR="003171AA">
        <w:fldChar w:fldCharType="separate"/>
      </w:r>
      <w:r w:rsidR="003171AA">
        <w:t>14</w:t>
      </w:r>
      <w:r w:rsidR="003171AA">
        <w:fldChar w:fldCharType="end"/>
      </w:r>
      <w:r w:rsidR="003171AA" w:rsidRPr="003171AA">
        <w:t>]</w:t>
      </w:r>
      <w:r w:rsidRPr="00200F93">
        <w:t xml:space="preserve">. </w:t>
      </w:r>
    </w:p>
    <w:p w:rsidR="00FC21DF" w:rsidRPr="00200F93" w:rsidRDefault="00A977D0" w:rsidP="005E562F">
      <w:pPr>
        <w:ind w:firstLine="709"/>
        <w:jc w:val="both"/>
      </w:pPr>
      <w:r>
        <w:t>Так, в бюджетном законодательстве РФ (ст.131, 138, 142.1 БК РФ) под налоговым потенциалом подразумевается совокупность объектов налогообложения в рамках действующей налоговой системы, расположенных на территории субъекта, т.е. налоговая база</w:t>
      </w:r>
      <w:r w:rsidR="00FB192A">
        <w:t xml:space="preserve"> </w:t>
      </w:r>
      <w:r w:rsidR="00FB192A" w:rsidRPr="00FB192A">
        <w:t>[</w:t>
      </w:r>
      <w:r w:rsidR="00BF5077">
        <w:fldChar w:fldCharType="begin"/>
      </w:r>
      <w:r w:rsidR="00BF5077">
        <w:instrText xml:space="preserve"> REF _Ref8640218 \r \h </w:instrText>
      </w:r>
      <w:r w:rsidR="00BF5077">
        <w:fldChar w:fldCharType="separate"/>
      </w:r>
      <w:r w:rsidR="00BF5077">
        <w:t>3</w:t>
      </w:r>
      <w:r w:rsidR="00BF5077">
        <w:fldChar w:fldCharType="end"/>
      </w:r>
      <w:r w:rsidR="00FB192A" w:rsidRPr="00FB192A">
        <w:t>]</w:t>
      </w:r>
      <w:r>
        <w:t>. При этом ст. 53 НК РФ предусматривает, что «налоговая база представляет собой стоимостную, физическую или иные характеристики  объекта налогообложения»</w:t>
      </w:r>
      <w:r w:rsidR="00FB192A" w:rsidRPr="00FB192A">
        <w:t xml:space="preserve"> [</w:t>
      </w:r>
      <w:r w:rsidR="00BF5077">
        <w:fldChar w:fldCharType="begin"/>
      </w:r>
      <w:r w:rsidR="00BF5077">
        <w:instrText xml:space="preserve"> REF _Ref8724725 \r \h </w:instrText>
      </w:r>
      <w:r w:rsidR="00BF5077">
        <w:fldChar w:fldCharType="separate"/>
      </w:r>
      <w:r w:rsidR="00BF5077">
        <w:t>10</w:t>
      </w:r>
      <w:r w:rsidR="00BF5077">
        <w:fldChar w:fldCharType="end"/>
      </w:r>
      <w:r w:rsidR="00FB192A" w:rsidRPr="00FB192A">
        <w:t>]</w:t>
      </w:r>
      <w:r>
        <w:t xml:space="preserve">. </w:t>
      </w:r>
      <w:r w:rsidR="00011A10">
        <w:t>Н</w:t>
      </w:r>
      <w:r w:rsidR="00FC21DF" w:rsidRPr="00200F93">
        <w:t xml:space="preserve">есмотря на то, что  выявление сущности налогового потенциала, его оценки, прогнозирования и определения направлений развития, а также возможностей управления является актуальным, </w:t>
      </w:r>
      <w:r w:rsidR="00566D61">
        <w:t>трактуемая законодательством формулировка налогового потенциала не отображает в достаточной мере суть данног</w:t>
      </w:r>
      <w:bookmarkStart w:id="0" w:name="_GoBack"/>
      <w:bookmarkEnd w:id="0"/>
      <w:r w:rsidR="00566D61">
        <w:t>о понятия</w:t>
      </w:r>
      <w:r w:rsidR="00011A10">
        <w:t>, что</w:t>
      </w:r>
      <w:r w:rsidR="00FC21DF" w:rsidRPr="00200F93">
        <w:t xml:space="preserve"> дает возможность неограниченных исследований в области понятийного аппар</w:t>
      </w:r>
      <w:r w:rsidR="00011A10">
        <w:t>ата НПР</w:t>
      </w:r>
      <w:r w:rsidR="00011A10" w:rsidRPr="00011A10">
        <w:t xml:space="preserve"> </w:t>
      </w:r>
      <w:r w:rsidR="00011A10" w:rsidRPr="00200F93">
        <w:t>[</w:t>
      </w:r>
      <w:r w:rsidR="00BF5077">
        <w:fldChar w:fldCharType="begin"/>
      </w:r>
      <w:r w:rsidR="00BF5077">
        <w:instrText xml:space="preserve"> REF _Ref8206460 \r \h </w:instrText>
      </w:r>
      <w:r w:rsidR="00BF5077">
        <w:fldChar w:fldCharType="separate"/>
      </w:r>
      <w:r w:rsidR="00BF5077">
        <w:t>7</w:t>
      </w:r>
      <w:r w:rsidR="00BF5077">
        <w:fldChar w:fldCharType="end"/>
      </w:r>
      <w:r w:rsidR="00011A10">
        <w:t>].</w:t>
      </w:r>
      <w:r w:rsidR="00FC21DF" w:rsidRPr="00200F93">
        <w:t xml:space="preserve"> На сегодняшний день существует три подхода к определению НПР: ре</w:t>
      </w:r>
      <w:r w:rsidR="00050EA0">
        <w:t>сурсный, фискальный, межбюджетный</w:t>
      </w:r>
      <w:r w:rsidR="00FC21DF" w:rsidRPr="00200F93">
        <w:t xml:space="preserve">. </w:t>
      </w:r>
    </w:p>
    <w:p w:rsidR="00FC21DF" w:rsidRPr="00200F93" w:rsidRDefault="00925E9B" w:rsidP="005E562F">
      <w:pPr>
        <w:ind w:firstLine="709"/>
        <w:jc w:val="both"/>
      </w:pPr>
      <w:r>
        <w:t>Нижеперечисленные а</w:t>
      </w:r>
      <w:r w:rsidR="00FC21DF" w:rsidRPr="00200F93">
        <w:t xml:space="preserve">вторы, в рамках </w:t>
      </w:r>
      <w:r w:rsidR="00FC21DF" w:rsidRPr="00200F93">
        <w:rPr>
          <w:b/>
        </w:rPr>
        <w:t>ресурсного подхода</w:t>
      </w:r>
      <w:r w:rsidR="00FC21DF" w:rsidRPr="00200F93">
        <w:t xml:space="preserve">, предполагают определение налогового </w:t>
      </w:r>
      <w:r w:rsidR="003171AA" w:rsidRPr="00200F93">
        <w:t>потенциала,</w:t>
      </w:r>
      <w:r w:rsidR="00FC21DF" w:rsidRPr="00200F93">
        <w:t xml:space="preserve"> </w:t>
      </w:r>
      <w:r w:rsidR="00CF388E">
        <w:t>основываясь на совокупности налогооблагаемых ресурсов территорий, налоговые поступления, которых зависят от налоговой базы и налоговых ставок.</w:t>
      </w:r>
    </w:p>
    <w:p w:rsidR="00FC21DF" w:rsidRPr="00200F93" w:rsidRDefault="00FC21DF" w:rsidP="005E562F">
      <w:pPr>
        <w:ind w:firstLine="709"/>
        <w:jc w:val="both"/>
      </w:pPr>
      <w:r w:rsidRPr="00200F93">
        <w:t>Так, в 1993 году в докладе Всемирного Банка «Россия и проблемы бюджетно-налогового федерализма» было дано одно из первых определений налогового потенциала как «способность базы налогообложения  в пределах какой-либо административной единицы приносить доходы в виде налоговых поступлений» [</w:t>
      </w:r>
      <w:r w:rsidR="00BF5077">
        <w:fldChar w:fldCharType="begin"/>
      </w:r>
      <w:r w:rsidR="00BF5077">
        <w:instrText xml:space="preserve"> REF _Ref8206481 \r \h </w:instrText>
      </w:r>
      <w:r w:rsidR="00BF5077">
        <w:fldChar w:fldCharType="separate"/>
      </w:r>
      <w:r w:rsidR="00BF5077">
        <w:t>12</w:t>
      </w:r>
      <w:r w:rsidR="00BF5077">
        <w:fldChar w:fldCharType="end"/>
      </w:r>
      <w:r w:rsidRPr="00200F93">
        <w:t>].</w:t>
      </w:r>
    </w:p>
    <w:p w:rsidR="00FC21DF" w:rsidRPr="00200F93" w:rsidRDefault="00FC21DF" w:rsidP="005E562F">
      <w:pPr>
        <w:ind w:firstLine="709"/>
        <w:jc w:val="both"/>
      </w:pPr>
      <w:r w:rsidRPr="00200F93">
        <w:t>Н.Д. Матрусов н</w:t>
      </w:r>
      <w:r w:rsidR="000A0DB9">
        <w:t>алоговый потенциал определяет в</w:t>
      </w:r>
      <w:r w:rsidRPr="00200F93">
        <w:t xml:space="preserve"> узком</w:t>
      </w:r>
      <w:r w:rsidR="000A0DB9">
        <w:t xml:space="preserve"> и широком</w:t>
      </w:r>
      <w:r w:rsidRPr="00200F93">
        <w:t xml:space="preserve"> смыслах. В узком смысле – </w:t>
      </w:r>
      <w:r w:rsidR="000A0DB9">
        <w:t>финансовые</w:t>
      </w:r>
      <w:r w:rsidRPr="00200F93">
        <w:t xml:space="preserve"> ресурсы, </w:t>
      </w:r>
      <w:r w:rsidR="000A0DB9">
        <w:t>которые должны быть аккумулированы в бюджет через налоговые платежи в рамках функционирующей в стране системе налогообложения</w:t>
      </w:r>
      <w:r w:rsidRPr="00200F93">
        <w:t xml:space="preserve">, а в широком – </w:t>
      </w:r>
      <w:r w:rsidR="000A0DB9">
        <w:t>это совокупность финансовых ресурсов, которая может быть эффективно мобилизована через налогообложение в системе</w:t>
      </w:r>
      <w:r w:rsidRPr="00200F93">
        <w:t xml:space="preserve"> «население – хозяйство – территория»</w:t>
      </w:r>
      <w:r w:rsidR="000A0DB9">
        <w:t xml:space="preserve">, в </w:t>
      </w:r>
      <w:r w:rsidR="000A0DB9">
        <w:lastRenderedPageBreak/>
        <w:t>координатах которой протекают основные процессы жизнедеятельности общества в границах региона</w:t>
      </w:r>
      <w:r w:rsidRPr="00200F93">
        <w:t xml:space="preserve"> [</w:t>
      </w:r>
      <w:r w:rsidR="00BF5077">
        <w:fldChar w:fldCharType="begin"/>
      </w:r>
      <w:r w:rsidR="00BF5077">
        <w:instrText xml:space="preserve"> REF _Ref8206553 \r \h </w:instrText>
      </w:r>
      <w:r w:rsidR="00BF5077">
        <w:fldChar w:fldCharType="separate"/>
      </w:r>
      <w:r w:rsidR="00BF5077">
        <w:t>8</w:t>
      </w:r>
      <w:r w:rsidR="00BF5077">
        <w:fldChar w:fldCharType="end"/>
      </w:r>
      <w:r w:rsidRPr="00200F93">
        <w:t>]. В понятии А.С.</w:t>
      </w:r>
      <w:r w:rsidR="00C87030">
        <w:t xml:space="preserve"> Каратаева налоговый потенциал можно</w:t>
      </w:r>
      <w:r w:rsidRPr="00200F93">
        <w:t xml:space="preserve"> </w:t>
      </w:r>
      <w:r w:rsidR="00C87030">
        <w:t>характеризовать как систему информации, необходимой для регулирования экономического развития</w:t>
      </w:r>
      <w:r w:rsidRPr="00200F93">
        <w:t xml:space="preserve"> [</w:t>
      </w:r>
      <w:r w:rsidR="00BF5077">
        <w:fldChar w:fldCharType="begin"/>
      </w:r>
      <w:r w:rsidR="00BF5077">
        <w:instrText xml:space="preserve"> REF _Ref8206493 \r \h </w:instrText>
      </w:r>
      <w:r w:rsidR="00BF5077">
        <w:fldChar w:fldCharType="separate"/>
      </w:r>
      <w:r w:rsidR="00BF5077">
        <w:t>4</w:t>
      </w:r>
      <w:r w:rsidR="00BF5077">
        <w:fldChar w:fldCharType="end"/>
      </w:r>
      <w:r w:rsidRPr="00200F93">
        <w:t>].</w:t>
      </w:r>
    </w:p>
    <w:p w:rsidR="00FC21DF" w:rsidRPr="00200F93" w:rsidRDefault="007E2C0C" w:rsidP="005E562F">
      <w:pPr>
        <w:ind w:firstLine="709"/>
        <w:jc w:val="both"/>
      </w:pPr>
      <w:r>
        <w:t>Ресурсный подход также поддерживает и Т.Ф. Юткина, определяя налоговый потенциал как соотношение элементов создаваемой и потребляемой стоимости, устанавливая соотношение долей совокупного дохода общества и перераспределённых через фонды потребл</w:t>
      </w:r>
      <w:r w:rsidR="00BF5077">
        <w:t>ения сумм национального дохода</w:t>
      </w:r>
      <w:r w:rsidR="00BF5077" w:rsidRPr="00BF5077">
        <w:t xml:space="preserve"> [</w:t>
      </w:r>
      <w:r w:rsidR="00BF5077">
        <w:fldChar w:fldCharType="begin"/>
      </w:r>
      <w:r w:rsidR="00BF5077">
        <w:instrText xml:space="preserve"> REF _Ref8724962 \r \h </w:instrText>
      </w:r>
      <w:r w:rsidR="00BF5077">
        <w:fldChar w:fldCharType="separate"/>
      </w:r>
      <w:r w:rsidR="00BF5077">
        <w:t>1</w:t>
      </w:r>
      <w:r w:rsidR="003171AA">
        <w:t>6</w:t>
      </w:r>
      <w:r w:rsidR="00BF5077">
        <w:fldChar w:fldCharType="end"/>
      </w:r>
      <w:r w:rsidR="00BF5077" w:rsidRPr="00BF5077">
        <w:t xml:space="preserve">]. </w:t>
      </w:r>
      <w:r w:rsidR="00FC21DF" w:rsidRPr="00200F93">
        <w:t>Такие авторы как А.Л. Коломиец</w:t>
      </w:r>
      <w:r w:rsidR="005E4BEA">
        <w:t>, А.Д. Мельник рассматривают НП</w:t>
      </w:r>
      <w:r w:rsidR="00FC21DF" w:rsidRPr="00200F93">
        <w:t xml:space="preserve"> как составляющую потенциала финансового, «которая в соответствии с действующим налоговым законодательством представляют собой потенциальную возможную сумму налоговых баз являющихся основой для исчисления всей совокупности налогов и обязательных платежей на территории данного субъекта Российской Федерации» [</w:t>
      </w:r>
      <w:r w:rsidR="00BF5077">
        <w:fldChar w:fldCharType="begin"/>
      </w:r>
      <w:r w:rsidR="00BF5077">
        <w:instrText xml:space="preserve"> REF _Ref8206639 \r \h </w:instrText>
      </w:r>
      <w:r w:rsidR="00BF5077">
        <w:fldChar w:fldCharType="separate"/>
      </w:r>
      <w:r w:rsidR="00BF5077">
        <w:t>6</w:t>
      </w:r>
      <w:r w:rsidR="00BF5077">
        <w:fldChar w:fldCharType="end"/>
      </w:r>
      <w:r w:rsidR="00FC21DF" w:rsidRPr="00200F93">
        <w:t>].</w:t>
      </w:r>
    </w:p>
    <w:p w:rsidR="005E4BEA" w:rsidRDefault="00FC21DF" w:rsidP="005E4BEA">
      <w:pPr>
        <w:ind w:firstLine="709"/>
        <w:jc w:val="both"/>
      </w:pPr>
      <w:r w:rsidRPr="00200F93">
        <w:t xml:space="preserve">В </w:t>
      </w:r>
      <w:r w:rsidRPr="00200F93">
        <w:rPr>
          <w:b/>
        </w:rPr>
        <w:t>фискальном подходе</w:t>
      </w:r>
      <w:r w:rsidRPr="00200F93">
        <w:t xml:space="preserve"> налоговый потенциал региона определяется с точки зрения обеспечения максимизации возможных налоговых </w:t>
      </w:r>
      <w:r w:rsidR="00A649EE">
        <w:t>поступлений определенных админи</w:t>
      </w:r>
      <w:r w:rsidR="003171AA">
        <w:t>стративно-территориальной единицей</w:t>
      </w:r>
      <w:r w:rsidR="00A649EE">
        <w:t xml:space="preserve"> в рамках действующего налогового законодательства</w:t>
      </w:r>
      <w:r w:rsidRPr="00200F93">
        <w:t xml:space="preserve">. </w:t>
      </w:r>
    </w:p>
    <w:p w:rsidR="00FC21DF" w:rsidRPr="00BF5077" w:rsidRDefault="007E2C0C" w:rsidP="00BF5077">
      <w:pPr>
        <w:ind w:firstLine="709"/>
        <w:jc w:val="both"/>
        <w:rPr>
          <w:rFonts w:ascii="yandex-sans" w:hAnsi="yandex-sans"/>
          <w:color w:val="FF0000"/>
          <w:sz w:val="23"/>
          <w:szCs w:val="23"/>
        </w:rPr>
      </w:pPr>
      <w:r>
        <w:t xml:space="preserve">К исследователям фискальной концепции можно отнести Е.С. Мураховскую, трактующую налоговый потенциал как «совокупность всех видов налогов на продукцию, производство и прибыль, подоходных и социальных налогов, которые реально можно собрать в рамках данной территории в определенный временной период </w:t>
      </w:r>
      <w:r w:rsidR="00873271" w:rsidRPr="00200F93">
        <w:t>[</w:t>
      </w:r>
      <w:r w:rsidR="00BF5077">
        <w:fldChar w:fldCharType="begin"/>
      </w:r>
      <w:r w:rsidR="00BF5077">
        <w:instrText xml:space="preserve"> REF _Ref8724989 \r \h </w:instrText>
      </w:r>
      <w:r w:rsidR="00BF5077">
        <w:fldChar w:fldCharType="separate"/>
      </w:r>
      <w:r w:rsidR="00BF5077">
        <w:t>9</w:t>
      </w:r>
      <w:r w:rsidR="00BF5077">
        <w:fldChar w:fldCharType="end"/>
      </w:r>
      <w:r w:rsidR="00873271" w:rsidRPr="00200F93">
        <w:t>].</w:t>
      </w:r>
      <w:r w:rsidR="00CF388E">
        <w:t xml:space="preserve"> </w:t>
      </w:r>
      <w:r w:rsidR="00873271">
        <w:t xml:space="preserve">Представляется интересным подход </w:t>
      </w:r>
      <w:r w:rsidR="00DC06BA">
        <w:t>С.С. Кириллов</w:t>
      </w:r>
      <w:r w:rsidR="00873271">
        <w:t>ой, которая</w:t>
      </w:r>
      <w:r w:rsidR="00DC06BA">
        <w:t xml:space="preserve"> налоговый потенциал определяет как потенциально возможную сумму налоговых поступлений в данном регионе с учетом установленного законодательства</w:t>
      </w:r>
      <w:r w:rsidR="00873271">
        <w:t xml:space="preserve"> </w:t>
      </w:r>
      <w:r w:rsidR="00873271" w:rsidRPr="00200F93">
        <w:t>[</w:t>
      </w:r>
      <w:r w:rsidR="00BF5077">
        <w:fldChar w:fldCharType="begin"/>
      </w:r>
      <w:r w:rsidR="00BF5077">
        <w:instrText xml:space="preserve"> REF _Ref8725068 \r \h </w:instrText>
      </w:r>
      <w:r w:rsidR="00BF5077">
        <w:fldChar w:fldCharType="separate"/>
      </w:r>
      <w:r w:rsidR="00BF5077">
        <w:t>5</w:t>
      </w:r>
      <w:r w:rsidR="00BF5077">
        <w:fldChar w:fldCharType="end"/>
      </w:r>
      <w:r w:rsidR="00873271" w:rsidRPr="00200F93">
        <w:t>]</w:t>
      </w:r>
      <w:r w:rsidR="00DC06BA">
        <w:t xml:space="preserve">. </w:t>
      </w:r>
      <w:r w:rsidR="00FC21DF" w:rsidRPr="00200F93">
        <w:t>Позиция В.Г. Панскова в определении НПР заключается в следующем: «Налоговый потенциал – максимально возможная сумма налоговых поступлений на определенной территории за определенный промежуток времени в условиях действующего законодательства</w:t>
      </w:r>
      <w:r w:rsidR="00C87030">
        <w:t>» Иными словами, это – потенциальная способность территории обеспечить максимальные налоговые доходы бюджета</w:t>
      </w:r>
      <w:r w:rsidR="00FC21DF" w:rsidRPr="00200F93">
        <w:t xml:space="preserve"> [</w:t>
      </w:r>
      <w:r w:rsidR="00BF5077">
        <w:fldChar w:fldCharType="begin"/>
      </w:r>
      <w:r w:rsidR="00BF5077">
        <w:instrText xml:space="preserve"> REF _Ref8206481 \r \h </w:instrText>
      </w:r>
      <w:r w:rsidR="00BF5077">
        <w:fldChar w:fldCharType="separate"/>
      </w:r>
      <w:r w:rsidR="00BF5077">
        <w:t>12</w:t>
      </w:r>
      <w:r w:rsidR="00BF5077">
        <w:fldChar w:fldCharType="end"/>
      </w:r>
      <w:r w:rsidR="00FC21DF" w:rsidRPr="00200F93">
        <w:t>].</w:t>
      </w:r>
    </w:p>
    <w:p w:rsidR="00FC21DF" w:rsidRPr="00200F93" w:rsidRDefault="00FC21DF" w:rsidP="005E562F">
      <w:pPr>
        <w:ind w:firstLine="709"/>
        <w:jc w:val="both"/>
      </w:pPr>
      <w:r w:rsidRPr="00200F93">
        <w:t xml:space="preserve">Отсюда следует, что к определению сущности НПР, в рамках фискального подхода, </w:t>
      </w:r>
      <w:r w:rsidR="00BA44D2">
        <w:t>за основу взято</w:t>
      </w:r>
      <w:r w:rsidRPr="00200F93">
        <w:t xml:space="preserve"> обеспечение максимальных налоговых платежей.</w:t>
      </w:r>
    </w:p>
    <w:p w:rsidR="00A836A8" w:rsidRPr="00200F93" w:rsidRDefault="00FC21DF" w:rsidP="00A836A8">
      <w:pPr>
        <w:ind w:firstLine="709"/>
        <w:jc w:val="both"/>
      </w:pPr>
      <w:r w:rsidRPr="00200F93">
        <w:t xml:space="preserve">В рамках </w:t>
      </w:r>
      <w:r w:rsidRPr="00200F93">
        <w:rPr>
          <w:b/>
        </w:rPr>
        <w:t>межбюджетно</w:t>
      </w:r>
      <w:r w:rsidR="002A656D">
        <w:rPr>
          <w:b/>
        </w:rPr>
        <w:t>го</w:t>
      </w:r>
      <w:r w:rsidRPr="00200F93">
        <w:rPr>
          <w:b/>
        </w:rPr>
        <w:t xml:space="preserve"> подхода</w:t>
      </w:r>
      <w:r w:rsidRPr="00200F93">
        <w:t xml:space="preserve"> </w:t>
      </w:r>
      <w:r w:rsidR="002A656D">
        <w:t>налоговый потенциал обосновывается с позиции формирования доходной части бюджета и выравнивания межрегиональной асимметрии.</w:t>
      </w:r>
    </w:p>
    <w:p w:rsidR="002A656D" w:rsidRPr="00200F93" w:rsidRDefault="00FC21DF" w:rsidP="00873271">
      <w:pPr>
        <w:ind w:firstLine="709"/>
        <w:jc w:val="both"/>
      </w:pPr>
      <w:r w:rsidRPr="00200F93">
        <w:t>Одним из сторонников данного подхода является С.Н. Хурсевич</w:t>
      </w:r>
      <w:r w:rsidR="00FB192A" w:rsidRPr="00FB192A">
        <w:t>[</w:t>
      </w:r>
      <w:r w:rsidR="00BF5077">
        <w:fldChar w:fldCharType="begin"/>
      </w:r>
      <w:r w:rsidR="00BF5077">
        <w:instrText xml:space="preserve"> REF _Ref8206573 \r \h </w:instrText>
      </w:r>
      <w:r w:rsidR="00BF5077">
        <w:fldChar w:fldCharType="separate"/>
      </w:r>
      <w:r w:rsidR="00BF5077">
        <w:t>13</w:t>
      </w:r>
      <w:r w:rsidR="00BF5077">
        <w:fldChar w:fldCharType="end"/>
      </w:r>
      <w:r w:rsidR="00FB192A" w:rsidRPr="00FB192A">
        <w:t>]</w:t>
      </w:r>
      <w:r w:rsidRPr="00200F93">
        <w:t>, определяющ</w:t>
      </w:r>
      <w:r w:rsidR="003171AA">
        <w:t>ая</w:t>
      </w:r>
      <w:r w:rsidRPr="00200F93">
        <w:t xml:space="preserve"> налоговый потенциал как максимально достижимый объем бюджетно-налоговых поступлений, которые может быть получен в рамках территории в сложившихся условиях хозяйствования.</w:t>
      </w:r>
      <w:r w:rsidR="00873271">
        <w:t xml:space="preserve"> </w:t>
      </w:r>
      <w:r w:rsidR="002A656D" w:rsidRPr="00200F93">
        <w:t>В своих работах О.В. Богачева определяет НПР как «потенциальный бюджетный доход на душу населения, который может быть получен органами власти</w:t>
      </w:r>
      <w:r w:rsidR="002A656D">
        <w:t xml:space="preserve"> за определенный промежуток времени (обычно финансовый год)</w:t>
      </w:r>
      <w:r w:rsidR="002A656D" w:rsidRPr="00200F93">
        <w:t xml:space="preserve"> при применении единых на всей территории страны условия налогообложения</w:t>
      </w:r>
      <w:r w:rsidR="002A656D">
        <w:t xml:space="preserve"> (т.е. путем стандартизации налоговых баз и ставок)</w:t>
      </w:r>
      <w:r w:rsidR="002A656D" w:rsidRPr="00200F93">
        <w:t>» [</w:t>
      </w:r>
      <w:r w:rsidR="00BF5077">
        <w:fldChar w:fldCharType="begin"/>
      </w:r>
      <w:r w:rsidR="00BF5077">
        <w:instrText xml:space="preserve"> REF _Ref8206501 \r \h </w:instrText>
      </w:r>
      <w:r w:rsidR="00BF5077">
        <w:fldChar w:fldCharType="separate"/>
      </w:r>
      <w:r w:rsidR="00BF5077">
        <w:t>1</w:t>
      </w:r>
      <w:r w:rsidR="00BF5077">
        <w:fldChar w:fldCharType="end"/>
      </w:r>
      <w:r w:rsidR="002A656D" w:rsidRPr="00200F93">
        <w:t>].</w:t>
      </w:r>
    </w:p>
    <w:p w:rsidR="00FC21DF" w:rsidRDefault="00FC21DF" w:rsidP="005E562F">
      <w:pPr>
        <w:ind w:firstLine="709"/>
        <w:jc w:val="both"/>
        <w:rPr>
          <w:lang w:val="en-US"/>
        </w:rPr>
      </w:pPr>
      <w:r w:rsidRPr="00200F93">
        <w:t xml:space="preserve">Исходя из вышеизложенного, можно сказать, что </w:t>
      </w:r>
      <w:r w:rsidR="002A656D">
        <w:t xml:space="preserve">выбор того или иного подхода к сущности налогового потенциала зависит от решаемой задачи. Но также необходимо отметить, что наиболее полно сущность налогового потенциала, по нашему мнению, раскрывает ресурсный подход, так как налоговый потенциал служит основой построения бюджетов всех уровней. </w:t>
      </w:r>
      <w:r w:rsidRPr="00200F93">
        <w:t xml:space="preserve">Обобщим характеристики вышерассмотренных подходов к сущности налогового потенциала региона в таблице </w:t>
      </w:r>
      <w:r w:rsidR="00834231">
        <w:t>1</w:t>
      </w:r>
      <w:r w:rsidRPr="00200F93">
        <w:t>.</w:t>
      </w:r>
    </w:p>
    <w:p w:rsidR="00BF5077" w:rsidRDefault="00BF5077" w:rsidP="005E562F">
      <w:pPr>
        <w:ind w:firstLine="709"/>
        <w:jc w:val="both"/>
        <w:rPr>
          <w:lang w:val="en-US"/>
        </w:rPr>
      </w:pPr>
    </w:p>
    <w:p w:rsidR="00BF5077" w:rsidRDefault="00BF5077" w:rsidP="005E562F">
      <w:pPr>
        <w:ind w:firstLine="709"/>
        <w:jc w:val="both"/>
        <w:rPr>
          <w:lang w:val="en-US"/>
        </w:rPr>
      </w:pPr>
    </w:p>
    <w:p w:rsidR="00BF5077" w:rsidRDefault="00BF5077" w:rsidP="005E562F">
      <w:pPr>
        <w:ind w:firstLine="709"/>
        <w:jc w:val="both"/>
        <w:rPr>
          <w:lang w:val="en-US"/>
        </w:rPr>
      </w:pPr>
    </w:p>
    <w:p w:rsidR="00BF5077" w:rsidRPr="00BF5077" w:rsidRDefault="00BF5077" w:rsidP="005E562F">
      <w:pPr>
        <w:ind w:firstLine="709"/>
        <w:jc w:val="both"/>
        <w:rPr>
          <w:lang w:val="en-US"/>
        </w:rPr>
      </w:pPr>
    </w:p>
    <w:p w:rsidR="00FC21DF" w:rsidRPr="00200F93" w:rsidRDefault="00834231" w:rsidP="005E562F">
      <w:pPr>
        <w:jc w:val="center"/>
        <w:rPr>
          <w:b/>
        </w:rPr>
      </w:pPr>
      <w:r>
        <w:lastRenderedPageBreak/>
        <w:t xml:space="preserve">Таблица 1 </w:t>
      </w:r>
      <w:r w:rsidRPr="00200F93">
        <w:rPr>
          <w:rFonts w:eastAsiaTheme="minorHAnsi"/>
          <w:color w:val="000000"/>
        </w:rPr>
        <w:t>–</w:t>
      </w:r>
      <w:r>
        <w:t xml:space="preserve"> </w:t>
      </w:r>
      <w:r w:rsidR="00FC21DF" w:rsidRPr="00834231">
        <w:t>Теоретические походы к определению сущности налогового потенциала региона</w:t>
      </w:r>
    </w:p>
    <w:tbl>
      <w:tblPr>
        <w:tblStyle w:val="a7"/>
        <w:tblW w:w="0" w:type="auto"/>
        <w:tblLook w:val="04A0" w:firstRow="1" w:lastRow="0" w:firstColumn="1" w:lastColumn="0" w:noHBand="0" w:noVBand="1"/>
      </w:tblPr>
      <w:tblGrid>
        <w:gridCol w:w="2019"/>
        <w:gridCol w:w="2633"/>
        <w:gridCol w:w="1930"/>
        <w:gridCol w:w="2989"/>
      </w:tblGrid>
      <w:tr w:rsidR="00FC21DF" w:rsidRPr="00200F93" w:rsidTr="00347EC2">
        <w:tc>
          <w:tcPr>
            <w:tcW w:w="2019" w:type="dxa"/>
            <w:vAlign w:val="center"/>
          </w:tcPr>
          <w:p w:rsidR="00FC21DF" w:rsidRPr="00200F93" w:rsidRDefault="00FC21DF" w:rsidP="00347EC2">
            <w:pPr>
              <w:jc w:val="center"/>
              <w:rPr>
                <w:b/>
              </w:rPr>
            </w:pPr>
            <w:r w:rsidRPr="00200F93">
              <w:rPr>
                <w:b/>
              </w:rPr>
              <w:t>Подход к определению</w:t>
            </w:r>
          </w:p>
        </w:tc>
        <w:tc>
          <w:tcPr>
            <w:tcW w:w="2633" w:type="dxa"/>
            <w:vAlign w:val="center"/>
          </w:tcPr>
          <w:p w:rsidR="00FC21DF" w:rsidRPr="00200F93" w:rsidRDefault="00FC21DF" w:rsidP="00347EC2">
            <w:pPr>
              <w:pStyle w:val="Default"/>
              <w:jc w:val="center"/>
              <w:rPr>
                <w:b/>
              </w:rPr>
            </w:pPr>
            <w:r w:rsidRPr="00200F93">
              <w:rPr>
                <w:b/>
                <w:bCs/>
              </w:rPr>
              <w:t>Сущность НПР</w:t>
            </w:r>
          </w:p>
        </w:tc>
        <w:tc>
          <w:tcPr>
            <w:tcW w:w="1930" w:type="dxa"/>
            <w:vAlign w:val="center"/>
          </w:tcPr>
          <w:p w:rsidR="00FC21DF" w:rsidRPr="00200F93" w:rsidRDefault="00FC21DF" w:rsidP="00347EC2">
            <w:pPr>
              <w:pStyle w:val="Default"/>
              <w:jc w:val="center"/>
              <w:rPr>
                <w:b/>
              </w:rPr>
            </w:pPr>
            <w:r w:rsidRPr="00200F93">
              <w:rPr>
                <w:b/>
                <w:bCs/>
              </w:rPr>
              <w:t>Представители</w:t>
            </w:r>
          </w:p>
        </w:tc>
        <w:tc>
          <w:tcPr>
            <w:tcW w:w="2989" w:type="dxa"/>
            <w:vAlign w:val="center"/>
          </w:tcPr>
          <w:p w:rsidR="00FC21DF" w:rsidRPr="00200F93" w:rsidRDefault="00FC21DF" w:rsidP="00347EC2">
            <w:pPr>
              <w:pStyle w:val="Default"/>
              <w:jc w:val="center"/>
              <w:rPr>
                <w:b/>
              </w:rPr>
            </w:pPr>
            <w:r w:rsidRPr="00200F93">
              <w:rPr>
                <w:b/>
                <w:bCs/>
              </w:rPr>
              <w:t>Комментарии</w:t>
            </w:r>
          </w:p>
        </w:tc>
      </w:tr>
      <w:tr w:rsidR="00FC21DF" w:rsidRPr="00200F93" w:rsidTr="00347EC2">
        <w:tc>
          <w:tcPr>
            <w:tcW w:w="2019" w:type="dxa"/>
            <w:vAlign w:val="center"/>
          </w:tcPr>
          <w:p w:rsidR="00FC21DF" w:rsidRPr="00200F93" w:rsidRDefault="00FC21DF" w:rsidP="00347EC2">
            <w:pPr>
              <w:pStyle w:val="Default"/>
            </w:pPr>
            <w:r w:rsidRPr="00200F93">
              <w:t xml:space="preserve">Ресурсный </w:t>
            </w:r>
          </w:p>
        </w:tc>
        <w:tc>
          <w:tcPr>
            <w:tcW w:w="2633" w:type="dxa"/>
            <w:vAlign w:val="center"/>
          </w:tcPr>
          <w:p w:rsidR="00FC21DF" w:rsidRPr="00200F93" w:rsidRDefault="00FC21DF" w:rsidP="00347EC2">
            <w:pPr>
              <w:pStyle w:val="Default"/>
              <w:jc w:val="center"/>
            </w:pPr>
            <w:r w:rsidRPr="00200F93">
              <w:t>Ресурс бюджетных доходов, аккумулируемый с помощью налоговых платежей</w:t>
            </w:r>
            <w:r w:rsidR="00A836A8">
              <w:t>.</w:t>
            </w:r>
          </w:p>
        </w:tc>
        <w:tc>
          <w:tcPr>
            <w:tcW w:w="1930" w:type="dxa"/>
            <w:vAlign w:val="center"/>
          </w:tcPr>
          <w:p w:rsidR="00FC21DF" w:rsidRPr="00200F93" w:rsidRDefault="00FC21DF" w:rsidP="00347EC2">
            <w:pPr>
              <w:pStyle w:val="Default"/>
              <w:jc w:val="center"/>
            </w:pPr>
            <w:r w:rsidRPr="00200F93">
              <w:t>Бушинская Т.В., Каратаев А.С., Коломиец А.Л., Матрусов Н.Д., Мельник А.Д., Осипов М.А. и др.</w:t>
            </w:r>
          </w:p>
        </w:tc>
        <w:tc>
          <w:tcPr>
            <w:tcW w:w="2989" w:type="dxa"/>
            <w:vAlign w:val="center"/>
          </w:tcPr>
          <w:p w:rsidR="00FC21DF" w:rsidRPr="00200F93" w:rsidRDefault="00FC21DF" w:rsidP="00347EC2">
            <w:pPr>
              <w:pStyle w:val="Default"/>
              <w:jc w:val="center"/>
            </w:pPr>
            <w:r w:rsidRPr="00200F93">
              <w:t>Подход не рассматривает НПР с позиций необходимости его максимизации для региона, не всегда учитывается институциональная составляющая НПР</w:t>
            </w:r>
            <w:r w:rsidR="00A836A8">
              <w:t>.</w:t>
            </w:r>
          </w:p>
        </w:tc>
      </w:tr>
      <w:tr w:rsidR="00FC21DF" w:rsidRPr="00200F93" w:rsidTr="00347EC2">
        <w:tc>
          <w:tcPr>
            <w:tcW w:w="2019" w:type="dxa"/>
            <w:vAlign w:val="center"/>
          </w:tcPr>
          <w:p w:rsidR="00FC21DF" w:rsidRPr="00200F93" w:rsidRDefault="00FC21DF" w:rsidP="00347EC2">
            <w:pPr>
              <w:pStyle w:val="Default"/>
            </w:pPr>
            <w:r w:rsidRPr="00200F93">
              <w:t xml:space="preserve">Фискальный </w:t>
            </w:r>
          </w:p>
        </w:tc>
        <w:tc>
          <w:tcPr>
            <w:tcW w:w="2633" w:type="dxa"/>
            <w:vAlign w:val="center"/>
          </w:tcPr>
          <w:p w:rsidR="00FC21DF" w:rsidRPr="00200F93" w:rsidRDefault="00FC21DF" w:rsidP="00347EC2">
            <w:pPr>
              <w:pStyle w:val="Default"/>
              <w:jc w:val="center"/>
            </w:pPr>
            <w:r w:rsidRPr="00200F93">
              <w:t>Обеспечение максимально возможных налоговых доходов бюджетов</w:t>
            </w:r>
            <w:r w:rsidR="00A836A8">
              <w:t>.</w:t>
            </w:r>
          </w:p>
        </w:tc>
        <w:tc>
          <w:tcPr>
            <w:tcW w:w="1930" w:type="dxa"/>
            <w:vAlign w:val="center"/>
          </w:tcPr>
          <w:p w:rsidR="00FC21DF" w:rsidRPr="00200F93" w:rsidRDefault="00FC21DF" w:rsidP="00347EC2">
            <w:pPr>
              <w:pStyle w:val="Default"/>
              <w:jc w:val="center"/>
            </w:pPr>
            <w:r w:rsidRPr="00200F93">
              <w:t>Вачугов И.В., Кириллова С.С., Пансков В.Г., Паскачев А.Б. и др.</w:t>
            </w:r>
          </w:p>
        </w:tc>
        <w:tc>
          <w:tcPr>
            <w:tcW w:w="2989" w:type="dxa"/>
            <w:vAlign w:val="center"/>
          </w:tcPr>
          <w:p w:rsidR="00FC21DF" w:rsidRPr="00200F93" w:rsidRDefault="00FC21DF" w:rsidP="00347EC2">
            <w:pPr>
              <w:pStyle w:val="Default"/>
              <w:jc w:val="center"/>
            </w:pPr>
            <w:r w:rsidRPr="00200F93">
              <w:t>Подход не отражает ресурсные характеристики НПР, не всегда учитывается институциональная составляющая НПР</w:t>
            </w:r>
            <w:r w:rsidR="00A836A8">
              <w:t>.</w:t>
            </w:r>
          </w:p>
        </w:tc>
      </w:tr>
      <w:tr w:rsidR="00FC21DF" w:rsidRPr="00200F93" w:rsidTr="00347EC2">
        <w:tc>
          <w:tcPr>
            <w:tcW w:w="2019" w:type="dxa"/>
            <w:vAlign w:val="center"/>
          </w:tcPr>
          <w:p w:rsidR="00FC21DF" w:rsidRPr="00200F93" w:rsidRDefault="002A656D" w:rsidP="00347EC2">
            <w:pPr>
              <w:pStyle w:val="Default"/>
            </w:pPr>
            <w:r>
              <w:t>Межбюджетный</w:t>
            </w:r>
            <w:r w:rsidR="00FC21DF" w:rsidRPr="00200F93">
              <w:t xml:space="preserve"> </w:t>
            </w:r>
          </w:p>
        </w:tc>
        <w:tc>
          <w:tcPr>
            <w:tcW w:w="2633" w:type="dxa"/>
            <w:vAlign w:val="center"/>
          </w:tcPr>
          <w:p w:rsidR="00FC21DF" w:rsidRDefault="00A836A8" w:rsidP="00A836A8">
            <w:pPr>
              <w:jc w:val="center"/>
            </w:pPr>
            <w:r>
              <w:t>Переход от традиционных методов планирования бюджетных доходов к оценке финансовых возможностей территории и их учете в системе распределительных отношений.</w:t>
            </w:r>
          </w:p>
          <w:p w:rsidR="00A836A8" w:rsidRPr="00200F93" w:rsidRDefault="00A836A8" w:rsidP="00A836A8">
            <w:pPr>
              <w:ind w:firstLine="709"/>
              <w:jc w:val="both"/>
            </w:pPr>
          </w:p>
        </w:tc>
        <w:tc>
          <w:tcPr>
            <w:tcW w:w="1930" w:type="dxa"/>
            <w:vAlign w:val="center"/>
          </w:tcPr>
          <w:p w:rsidR="00FC21DF" w:rsidRDefault="00A836A8" w:rsidP="00347EC2">
            <w:pPr>
              <w:pStyle w:val="Default"/>
              <w:jc w:val="center"/>
            </w:pPr>
            <w:r>
              <w:t>Хурсевич С.Н.,</w:t>
            </w:r>
          </w:p>
          <w:p w:rsidR="00A836A8" w:rsidRPr="00200F93" w:rsidRDefault="00A836A8" w:rsidP="00347EC2">
            <w:pPr>
              <w:pStyle w:val="Default"/>
              <w:jc w:val="center"/>
            </w:pPr>
            <w:r>
              <w:t>Богачева О.В. и др.</w:t>
            </w:r>
          </w:p>
        </w:tc>
        <w:tc>
          <w:tcPr>
            <w:tcW w:w="2989" w:type="dxa"/>
            <w:vAlign w:val="center"/>
          </w:tcPr>
          <w:p w:rsidR="00FC21DF" w:rsidRPr="00200F93" w:rsidRDefault="00FC21DF" w:rsidP="00A836A8">
            <w:pPr>
              <w:pStyle w:val="Default"/>
              <w:jc w:val="center"/>
            </w:pPr>
            <w:r w:rsidRPr="00200F93">
              <w:t xml:space="preserve">Подход в большей степени </w:t>
            </w:r>
            <w:r w:rsidR="00A836A8">
              <w:t>обращает внимание на необходимость данного понятия в соответствии с целями.</w:t>
            </w:r>
            <w:r w:rsidRPr="00200F93">
              <w:t xml:space="preserve"> </w:t>
            </w:r>
          </w:p>
        </w:tc>
      </w:tr>
    </w:tbl>
    <w:p w:rsidR="00FC21DF" w:rsidRDefault="00873271" w:rsidP="00FC21DF">
      <w:pPr>
        <w:ind w:firstLine="709"/>
        <w:jc w:val="both"/>
        <w:rPr>
          <w:lang w:val="en-US"/>
        </w:rPr>
      </w:pPr>
      <w:r>
        <w:t>Источник: составлено</w:t>
      </w:r>
      <w:r w:rsidR="00FC21DF" w:rsidRPr="00200F93">
        <w:t xml:space="preserve"> по [</w:t>
      </w:r>
      <w:r w:rsidR="00BF5077">
        <w:rPr>
          <w:lang w:val="en-US"/>
        </w:rPr>
        <w:t xml:space="preserve">1, </w:t>
      </w:r>
      <w:r w:rsidR="00BF5077" w:rsidRPr="00BF5077">
        <w:t>2</w:t>
      </w:r>
      <w:r w:rsidR="00FC21DF" w:rsidRPr="00200F93">
        <w:t xml:space="preserve">, </w:t>
      </w:r>
      <w:r w:rsidR="00FB7BBF">
        <w:fldChar w:fldCharType="begin"/>
      </w:r>
      <w:r w:rsidR="00FB7BBF">
        <w:instrText xml:space="preserve"> REF _Ref8206592 \r \h </w:instrText>
      </w:r>
      <w:r w:rsidR="00FB7BBF">
        <w:fldChar w:fldCharType="separate"/>
      </w:r>
      <w:r w:rsidR="00FB7BBF">
        <w:t>4</w:t>
      </w:r>
      <w:r w:rsidR="00FB7BBF">
        <w:fldChar w:fldCharType="end"/>
      </w:r>
      <w:r w:rsidR="00FC21DF" w:rsidRPr="00200F93">
        <w:t xml:space="preserve">, </w:t>
      </w:r>
      <w:r w:rsidR="00FB192A">
        <w:fldChar w:fldCharType="begin"/>
      </w:r>
      <w:r w:rsidR="00FB192A">
        <w:instrText xml:space="preserve"> REF _Ref8206493 \r \h </w:instrText>
      </w:r>
      <w:r w:rsidR="00FB192A">
        <w:fldChar w:fldCharType="separate"/>
      </w:r>
      <w:r w:rsidR="00FB7BBF">
        <w:t>5</w:t>
      </w:r>
      <w:r w:rsidR="00FB192A">
        <w:fldChar w:fldCharType="end"/>
      </w:r>
      <w:r w:rsidR="00FC21DF" w:rsidRPr="00200F93">
        <w:t xml:space="preserve">, </w:t>
      </w:r>
      <w:r w:rsidR="00FB192A">
        <w:fldChar w:fldCharType="begin"/>
      </w:r>
      <w:r w:rsidR="00FB192A">
        <w:instrText xml:space="preserve"> REF _Ref8206639 \r \h </w:instrText>
      </w:r>
      <w:r w:rsidR="00FB192A">
        <w:fldChar w:fldCharType="separate"/>
      </w:r>
      <w:r w:rsidR="00FB7BBF">
        <w:t>6</w:t>
      </w:r>
      <w:r w:rsidR="00FB192A">
        <w:fldChar w:fldCharType="end"/>
      </w:r>
      <w:r w:rsidR="00FC21DF" w:rsidRPr="00200F93">
        <w:t xml:space="preserve">, </w:t>
      </w:r>
      <w:r w:rsidR="00BF5077" w:rsidRPr="00BF5077">
        <w:t xml:space="preserve">8, </w:t>
      </w:r>
      <w:r w:rsidR="00FB192A">
        <w:fldChar w:fldCharType="begin"/>
      </w:r>
      <w:r w:rsidR="00FB192A">
        <w:instrText xml:space="preserve"> REF _Ref8206553 \r \h </w:instrText>
      </w:r>
      <w:r w:rsidR="00FB192A">
        <w:fldChar w:fldCharType="separate"/>
      </w:r>
      <w:r w:rsidR="00FB7BBF">
        <w:t>9</w:t>
      </w:r>
      <w:r w:rsidR="00FB192A">
        <w:fldChar w:fldCharType="end"/>
      </w:r>
      <w:r w:rsidR="00FC21DF" w:rsidRPr="00200F93">
        <w:t xml:space="preserve">, </w:t>
      </w:r>
      <w:r w:rsidR="00FB192A">
        <w:fldChar w:fldCharType="begin"/>
      </w:r>
      <w:r w:rsidR="00FB192A">
        <w:instrText xml:space="preserve"> REF _Ref8206481 \r \h </w:instrText>
      </w:r>
      <w:r w:rsidR="00FB192A">
        <w:fldChar w:fldCharType="separate"/>
      </w:r>
      <w:r w:rsidR="00FB7BBF">
        <w:t>12</w:t>
      </w:r>
      <w:r w:rsidR="00FB192A">
        <w:fldChar w:fldCharType="end"/>
      </w:r>
      <w:r w:rsidR="00BF5077" w:rsidRPr="00BF5077">
        <w:t>,</w:t>
      </w:r>
      <w:r w:rsidR="00BF5077">
        <w:t xml:space="preserve"> 13</w:t>
      </w:r>
      <w:r w:rsidR="00BF5077">
        <w:rPr>
          <w:lang w:val="en-US"/>
        </w:rPr>
        <w:t>,</w:t>
      </w:r>
      <w:r w:rsidR="00BF5077" w:rsidRPr="00BF5077">
        <w:t xml:space="preserve"> 14</w:t>
      </w:r>
      <w:r w:rsidR="00FC21DF" w:rsidRPr="00200F93">
        <w:t>].</w:t>
      </w:r>
    </w:p>
    <w:p w:rsidR="00BF5077" w:rsidRPr="00BF5077" w:rsidRDefault="00BF5077" w:rsidP="00FC21DF">
      <w:pPr>
        <w:ind w:firstLine="709"/>
        <w:jc w:val="both"/>
        <w:rPr>
          <w:lang w:val="en-US"/>
        </w:rPr>
      </w:pPr>
    </w:p>
    <w:p w:rsidR="00FC21DF" w:rsidRPr="00200F93" w:rsidRDefault="00FC21DF" w:rsidP="00FC21DF">
      <w:pPr>
        <w:ind w:firstLine="709"/>
        <w:jc w:val="both"/>
      </w:pPr>
      <w:r w:rsidRPr="00200F93">
        <w:rPr>
          <w:color w:val="000000" w:themeColor="text1"/>
        </w:rPr>
        <w:t xml:space="preserve">Изучив </w:t>
      </w:r>
      <w:r w:rsidR="00925E9B">
        <w:t>Налоговый и Бюджетный кодекс, а также</w:t>
      </w:r>
      <w:r w:rsidRPr="00200F93">
        <w:rPr>
          <w:color w:val="000000" w:themeColor="text1"/>
        </w:rPr>
        <w:t xml:space="preserve"> вышепредставленных авторов, под налоговым потенциалом региона будем </w:t>
      </w:r>
      <w:r w:rsidRPr="00200F93">
        <w:t>представлять совокупность максимально возможных налоговых поступлений в бюджет, рассчитанных из налоговых баз, которые могут быть получены в рамках региона по действующим (прогнозным) налоговым ставкам с учетом установленного порядка их начисления в сложившихся условиях хозяйствования региона. Расчет налоговой базы производится в региональном разрезе с учетом отраслевой структуры по каждому виду налогов.</w:t>
      </w:r>
    </w:p>
    <w:p w:rsidR="00FC21DF" w:rsidRDefault="00FC21DF" w:rsidP="00FC21DF">
      <w:pPr>
        <w:ind w:firstLine="709"/>
        <w:jc w:val="both"/>
      </w:pPr>
      <w:r w:rsidRPr="00200F93">
        <w:t xml:space="preserve">В практических целях под налоговым потенциалом региона </w:t>
      </w:r>
      <w:r w:rsidR="00714CCF">
        <w:t xml:space="preserve">будем понимать </w:t>
      </w:r>
      <w:r w:rsidRPr="00200F93">
        <w:t xml:space="preserve">сумму потенциалов всех действующих в данном регионе отдельных налогов. А под потенциалом конкретного налога – максимально возможную за определенный период сумму поступлений по данному налогу, исходя из установленных федеральным законодательством налоговой базы и ставки без учета льгот и преференций. </w:t>
      </w:r>
      <w:r w:rsidR="0044565A">
        <w:t xml:space="preserve"> </w:t>
      </w:r>
    </w:p>
    <w:p w:rsidR="0044565A" w:rsidRDefault="00756EAA" w:rsidP="00FC21DF">
      <w:pPr>
        <w:ind w:firstLine="709"/>
        <w:jc w:val="both"/>
      </w:pPr>
      <w:r>
        <w:t>Необходимо за</w:t>
      </w:r>
      <w:r w:rsidR="0044565A">
        <w:t>метить, что в экономической литературе налоговый потенциал характеризуется с различных позиций:</w:t>
      </w:r>
    </w:p>
    <w:p w:rsidR="0044565A" w:rsidRDefault="0044565A" w:rsidP="0044565A">
      <w:pPr>
        <w:pStyle w:val="a8"/>
        <w:numPr>
          <w:ilvl w:val="0"/>
          <w:numId w:val="27"/>
        </w:numPr>
        <w:jc w:val="both"/>
      </w:pPr>
      <w:r>
        <w:t>как системная экономическая категория;</w:t>
      </w:r>
    </w:p>
    <w:p w:rsidR="0044565A" w:rsidRDefault="0044565A" w:rsidP="0044565A">
      <w:pPr>
        <w:pStyle w:val="a8"/>
        <w:numPr>
          <w:ilvl w:val="0"/>
          <w:numId w:val="27"/>
        </w:numPr>
        <w:jc w:val="both"/>
      </w:pPr>
      <w:r>
        <w:t>как элемент основы межбюджетных отношений;</w:t>
      </w:r>
    </w:p>
    <w:p w:rsidR="0044565A" w:rsidRDefault="0044565A" w:rsidP="0044565A">
      <w:pPr>
        <w:pStyle w:val="a8"/>
        <w:numPr>
          <w:ilvl w:val="0"/>
          <w:numId w:val="27"/>
        </w:numPr>
        <w:jc w:val="both"/>
      </w:pPr>
      <w:r>
        <w:t>как фискальная категория;</w:t>
      </w:r>
    </w:p>
    <w:p w:rsidR="0044565A" w:rsidRDefault="0044565A" w:rsidP="0044565A">
      <w:pPr>
        <w:pStyle w:val="a8"/>
        <w:numPr>
          <w:ilvl w:val="0"/>
          <w:numId w:val="27"/>
        </w:numPr>
        <w:jc w:val="both"/>
      </w:pPr>
      <w:r>
        <w:t>как ресурсная категория.</w:t>
      </w:r>
    </w:p>
    <w:p w:rsidR="00714CCF" w:rsidRDefault="004A13D6" w:rsidP="00FC21DF">
      <w:pPr>
        <w:ind w:firstLine="709"/>
        <w:jc w:val="both"/>
      </w:pPr>
      <w:r>
        <w:lastRenderedPageBreak/>
        <w:t xml:space="preserve">Таким образом, проведенный анализ основных подходов к определению сущности налогового потенциала, позволил </w:t>
      </w:r>
      <w:r w:rsidR="004516C5">
        <w:t xml:space="preserve">также </w:t>
      </w:r>
      <w:r>
        <w:t>выделит</w:t>
      </w:r>
      <w:r w:rsidR="00C21C88">
        <w:t>ь ряд различий между ними</w:t>
      </w:r>
      <w:r>
        <w:t>, которы</w:t>
      </w:r>
      <w:r w:rsidR="00FB5419">
        <w:t>е</w:t>
      </w:r>
      <w:r w:rsidR="004516C5">
        <w:t xml:space="preserve"> направлены</w:t>
      </w:r>
      <w:r w:rsidR="006C4B6A">
        <w:t>,</w:t>
      </w:r>
      <w:r w:rsidR="004516C5">
        <w:t xml:space="preserve"> либо </w:t>
      </w:r>
      <w:r>
        <w:t>на:</w:t>
      </w:r>
    </w:p>
    <w:p w:rsidR="004A13D6" w:rsidRDefault="006C4B6A" w:rsidP="004A13D6">
      <w:pPr>
        <w:pStyle w:val="a8"/>
        <w:numPr>
          <w:ilvl w:val="0"/>
          <w:numId w:val="26"/>
        </w:numPr>
        <w:jc w:val="both"/>
      </w:pPr>
      <w:r>
        <w:t>ф</w:t>
      </w:r>
      <w:r w:rsidR="004A13D6">
        <w:t>ормирование основных положений о сущности и роли налогового потенциала;</w:t>
      </w:r>
    </w:p>
    <w:p w:rsidR="004A13D6" w:rsidRDefault="006C4B6A" w:rsidP="004A13D6">
      <w:pPr>
        <w:pStyle w:val="a8"/>
        <w:numPr>
          <w:ilvl w:val="0"/>
          <w:numId w:val="26"/>
        </w:numPr>
        <w:jc w:val="both"/>
      </w:pPr>
      <w:r>
        <w:t>с</w:t>
      </w:r>
      <w:r w:rsidR="004A13D6">
        <w:t>истематизацию знаний и развитие методического инструментария оценки налогового потенциала;</w:t>
      </w:r>
    </w:p>
    <w:p w:rsidR="004A13D6" w:rsidRDefault="006C4B6A" w:rsidP="004A13D6">
      <w:pPr>
        <w:pStyle w:val="a8"/>
        <w:numPr>
          <w:ilvl w:val="0"/>
          <w:numId w:val="26"/>
        </w:numPr>
        <w:jc w:val="both"/>
      </w:pPr>
      <w:r>
        <w:t>р</w:t>
      </w:r>
      <w:r w:rsidR="004A13D6">
        <w:t>азвитие концепции налогового потенциала в рамках вопросов бюджетной обеспеченности и бюджетного регулирования.</w:t>
      </w:r>
    </w:p>
    <w:p w:rsidR="00F96FBB" w:rsidRDefault="00F96FBB" w:rsidP="00F96FBB">
      <w:pPr>
        <w:jc w:val="both"/>
      </w:pPr>
    </w:p>
    <w:p w:rsidR="00745470" w:rsidRPr="00200F93" w:rsidRDefault="00745470" w:rsidP="00FC21DF">
      <w:pPr>
        <w:ind w:firstLine="709"/>
        <w:jc w:val="both"/>
      </w:pPr>
    </w:p>
    <w:p w:rsidR="00FC21DF" w:rsidRPr="00200F93" w:rsidRDefault="00DB500E" w:rsidP="00DB500E">
      <w:pPr>
        <w:pStyle w:val="1"/>
        <w:spacing w:before="0" w:beforeAutospacing="0" w:after="0" w:afterAutospacing="0"/>
        <w:jc w:val="center"/>
        <w:rPr>
          <w:sz w:val="24"/>
          <w:szCs w:val="24"/>
        </w:rPr>
      </w:pPr>
      <w:r>
        <w:rPr>
          <w:sz w:val="24"/>
          <w:szCs w:val="24"/>
        </w:rPr>
        <w:t>Список л</w:t>
      </w:r>
      <w:r w:rsidR="00FC21DF" w:rsidRPr="00200F93">
        <w:rPr>
          <w:sz w:val="24"/>
          <w:szCs w:val="24"/>
        </w:rPr>
        <w:t>итератур</w:t>
      </w:r>
      <w:r>
        <w:rPr>
          <w:sz w:val="24"/>
          <w:szCs w:val="24"/>
        </w:rPr>
        <w:t>ы:</w:t>
      </w:r>
    </w:p>
    <w:p w:rsidR="008D77E0" w:rsidRPr="00200F93" w:rsidRDefault="008D77E0" w:rsidP="00FC21DF">
      <w:pPr>
        <w:pStyle w:val="a8"/>
        <w:numPr>
          <w:ilvl w:val="0"/>
          <w:numId w:val="25"/>
        </w:numPr>
        <w:shd w:val="clear" w:color="auto" w:fill="FFFFFF"/>
        <w:ind w:left="0" w:firstLine="709"/>
        <w:jc w:val="both"/>
        <w:rPr>
          <w:color w:val="242424"/>
        </w:rPr>
      </w:pPr>
      <w:bookmarkStart w:id="1" w:name="_Ref8206501"/>
      <w:r w:rsidRPr="00200F93">
        <w:rPr>
          <w:rFonts w:eastAsiaTheme="minorHAnsi"/>
          <w:color w:val="000000"/>
        </w:rPr>
        <w:t>Богачева, О.В. Налоговый потенциал и региональные счета / О.В. Богачева // Финансы. – 2000. – №2. – С. 29 - 32; №3. – С. 21 - 23.</w:t>
      </w:r>
      <w:bookmarkEnd w:id="1"/>
      <w:r w:rsidRPr="00200F93">
        <w:rPr>
          <w:rFonts w:eastAsiaTheme="minorHAnsi"/>
          <w:color w:val="000000"/>
        </w:rPr>
        <w:t xml:space="preserve"> </w:t>
      </w:r>
    </w:p>
    <w:p w:rsidR="008D77E0" w:rsidRPr="00200F93" w:rsidRDefault="008D77E0" w:rsidP="00FC21DF">
      <w:pPr>
        <w:pStyle w:val="a8"/>
        <w:numPr>
          <w:ilvl w:val="0"/>
          <w:numId w:val="25"/>
        </w:numPr>
        <w:shd w:val="clear" w:color="auto" w:fill="FFFFFF"/>
        <w:ind w:left="0" w:firstLine="709"/>
        <w:jc w:val="both"/>
        <w:rPr>
          <w:color w:val="242424"/>
        </w:rPr>
      </w:pPr>
      <w:bookmarkStart w:id="2" w:name="_Ref8206592"/>
      <w:r w:rsidRPr="00200F93">
        <w:rPr>
          <w:rFonts w:eastAsiaTheme="minorHAnsi"/>
          <w:color w:val="000000"/>
        </w:rPr>
        <w:t>Бушинская, Т.В. Региональная налоговая политика и особенности ее реализации (на примере Тул</w:t>
      </w:r>
      <w:r>
        <w:rPr>
          <w:rFonts w:eastAsiaTheme="minorHAnsi"/>
          <w:color w:val="000000"/>
        </w:rPr>
        <w:t xml:space="preserve">ьской области): автореф. дис. </w:t>
      </w:r>
      <w:r w:rsidRPr="00200F93">
        <w:rPr>
          <w:rFonts w:eastAsiaTheme="minorHAnsi"/>
          <w:color w:val="000000"/>
        </w:rPr>
        <w:t>канд. экон. наук: 08.00.10 / Бушинская Татьяна Владимировна. – М., 2009. – 24 с.</w:t>
      </w:r>
      <w:bookmarkEnd w:id="2"/>
      <w:r w:rsidRPr="00200F93">
        <w:rPr>
          <w:rFonts w:eastAsiaTheme="minorHAnsi"/>
          <w:color w:val="000000"/>
        </w:rPr>
        <w:t xml:space="preserve"> </w:t>
      </w:r>
    </w:p>
    <w:p w:rsidR="008D77E0" w:rsidRPr="000F214F" w:rsidRDefault="008D77E0" w:rsidP="000F214F">
      <w:pPr>
        <w:pStyle w:val="a8"/>
        <w:numPr>
          <w:ilvl w:val="0"/>
          <w:numId w:val="25"/>
        </w:numPr>
        <w:shd w:val="clear" w:color="auto" w:fill="FFFFFF"/>
        <w:ind w:left="0" w:firstLine="709"/>
        <w:jc w:val="both"/>
      </w:pPr>
      <w:bookmarkStart w:id="3" w:name="_Ref8640218"/>
      <w:r w:rsidRPr="000F214F">
        <w:rPr>
          <w:shd w:val="clear" w:color="auto" w:fill="FFFFFF"/>
        </w:rPr>
        <w:t>Бюджетный кодекс РФ от 31.07.1998 г. № 145-ФЗ (с изменениями и дополнениями) [Электронный ресурс]: Справочно-правовая система "Консультант Плюс" / Режим доступа:http://www.consultant.ru/</w:t>
      </w:r>
      <w:r>
        <w:rPr>
          <w:shd w:val="clear" w:color="auto" w:fill="FFFFFF"/>
        </w:rPr>
        <w:t>.</w:t>
      </w:r>
      <w:bookmarkEnd w:id="3"/>
    </w:p>
    <w:p w:rsidR="008D77E0" w:rsidRPr="00200F93" w:rsidRDefault="008D77E0" w:rsidP="00FC21DF">
      <w:pPr>
        <w:pStyle w:val="a8"/>
        <w:numPr>
          <w:ilvl w:val="0"/>
          <w:numId w:val="25"/>
        </w:numPr>
        <w:shd w:val="clear" w:color="auto" w:fill="FFFFFF"/>
        <w:ind w:left="0" w:firstLine="709"/>
        <w:jc w:val="both"/>
        <w:rPr>
          <w:color w:val="242424"/>
        </w:rPr>
      </w:pPr>
      <w:bookmarkStart w:id="4" w:name="_Ref8206493"/>
      <w:r w:rsidRPr="00200F93">
        <w:rPr>
          <w:rFonts w:eastAsiaTheme="minorHAnsi"/>
          <w:color w:val="000000"/>
        </w:rPr>
        <w:t xml:space="preserve">Каратаев, А.С. </w:t>
      </w:r>
      <w:r>
        <w:rPr>
          <w:rFonts w:eastAsiaTheme="minorHAnsi"/>
          <w:color w:val="000000"/>
        </w:rPr>
        <w:t xml:space="preserve">Факторы, влияющие на налоговый потенциал крупнейшего налогоплательщика </w:t>
      </w:r>
      <w:r w:rsidRPr="00200F93">
        <w:rPr>
          <w:rFonts w:eastAsiaTheme="minorHAnsi"/>
          <w:color w:val="000000"/>
        </w:rPr>
        <w:t xml:space="preserve">// </w:t>
      </w:r>
      <w:r>
        <w:rPr>
          <w:rFonts w:eastAsiaTheme="minorHAnsi"/>
          <w:color w:val="000000"/>
        </w:rPr>
        <w:t>Финансы.</w:t>
      </w:r>
      <w:r w:rsidRPr="00200F93">
        <w:rPr>
          <w:rFonts w:eastAsiaTheme="minorHAnsi"/>
          <w:color w:val="000000"/>
        </w:rPr>
        <w:t xml:space="preserve">. – 2010. – № </w:t>
      </w:r>
      <w:r>
        <w:rPr>
          <w:rFonts w:eastAsiaTheme="minorHAnsi"/>
          <w:color w:val="000000"/>
        </w:rPr>
        <w:t>1</w:t>
      </w:r>
      <w:bookmarkEnd w:id="4"/>
      <w:r w:rsidRPr="00200F93">
        <w:rPr>
          <w:rFonts w:eastAsiaTheme="minorHAnsi"/>
          <w:color w:val="000000"/>
        </w:rPr>
        <w:t xml:space="preserve"> </w:t>
      </w:r>
    </w:p>
    <w:p w:rsidR="008D77E0" w:rsidRPr="005E4BEA" w:rsidRDefault="008D77E0" w:rsidP="00DC06BA">
      <w:pPr>
        <w:pStyle w:val="a8"/>
        <w:numPr>
          <w:ilvl w:val="0"/>
          <w:numId w:val="25"/>
        </w:numPr>
        <w:shd w:val="clear" w:color="auto" w:fill="FFFFFF"/>
        <w:ind w:left="0" w:firstLine="709"/>
        <w:jc w:val="both"/>
        <w:rPr>
          <w:color w:val="242424"/>
        </w:rPr>
      </w:pPr>
      <w:bookmarkStart w:id="5" w:name="_Ref8725068"/>
      <w:r w:rsidRPr="00DC06BA">
        <w:rPr>
          <w:color w:val="000000"/>
          <w:shd w:val="clear" w:color="auto" w:fill="FFFFFF"/>
        </w:rPr>
        <w:t xml:space="preserve">Кириллова С.С. Как определить налоговый потенциал региона? // Региональная экономика: теория и практика </w:t>
      </w:r>
      <w:r w:rsidRPr="00200F93">
        <w:rPr>
          <w:rFonts w:eastAsiaTheme="minorHAnsi"/>
          <w:color w:val="000000"/>
        </w:rPr>
        <w:t>–</w:t>
      </w:r>
      <w:r w:rsidRPr="00DC06BA">
        <w:rPr>
          <w:color w:val="000000"/>
          <w:shd w:val="clear" w:color="auto" w:fill="FFFFFF"/>
        </w:rPr>
        <w:t xml:space="preserve"> 2004. </w:t>
      </w:r>
      <w:r w:rsidRPr="00200F93">
        <w:rPr>
          <w:rFonts w:eastAsiaTheme="minorHAnsi"/>
          <w:color w:val="000000"/>
        </w:rPr>
        <w:t>–</w:t>
      </w:r>
      <w:r w:rsidRPr="00DC06BA">
        <w:rPr>
          <w:color w:val="000000"/>
          <w:shd w:val="clear" w:color="auto" w:fill="FFFFFF"/>
        </w:rPr>
        <w:t xml:space="preserve"> №5.</w:t>
      </w:r>
      <w:bookmarkEnd w:id="5"/>
    </w:p>
    <w:p w:rsidR="008D77E0" w:rsidRPr="00200F93" w:rsidRDefault="008D77E0" w:rsidP="00FC21DF">
      <w:pPr>
        <w:pStyle w:val="a8"/>
        <w:numPr>
          <w:ilvl w:val="0"/>
          <w:numId w:val="25"/>
        </w:numPr>
        <w:shd w:val="clear" w:color="auto" w:fill="FFFFFF"/>
        <w:ind w:left="0" w:firstLine="709"/>
        <w:jc w:val="both"/>
        <w:rPr>
          <w:color w:val="242424"/>
        </w:rPr>
      </w:pPr>
      <w:bookmarkStart w:id="6" w:name="_Ref8206639"/>
      <w:r w:rsidRPr="00200F93">
        <w:rPr>
          <w:rFonts w:eastAsiaTheme="minorHAnsi"/>
          <w:color w:val="000000"/>
        </w:rPr>
        <w:t>Коломиец, А.Л. О понятиях налогового и финансового потенциалов региона [Электронный ресурс] // Налоговый вестник. – Режим доступа: http://www.nalvest.com/nv-articles/detail.php?ID=3192</w:t>
      </w:r>
      <w:bookmarkEnd w:id="6"/>
    </w:p>
    <w:p w:rsidR="008D77E0" w:rsidRPr="009F4D14" w:rsidRDefault="008D77E0" w:rsidP="009F4D14">
      <w:pPr>
        <w:pStyle w:val="a8"/>
        <w:numPr>
          <w:ilvl w:val="0"/>
          <w:numId w:val="25"/>
        </w:numPr>
        <w:shd w:val="clear" w:color="auto" w:fill="FFFFFF"/>
        <w:ind w:left="0" w:firstLine="709"/>
        <w:jc w:val="both"/>
        <w:rPr>
          <w:color w:val="242424"/>
        </w:rPr>
      </w:pPr>
      <w:bookmarkStart w:id="7" w:name="_Ref8206460"/>
      <w:r w:rsidRPr="00200F93">
        <w:rPr>
          <w:color w:val="000000"/>
        </w:rPr>
        <w:t>Лыкова Л.Н., Налоговые системы зарубежных стран: учебник для магистров / Л.Н. Лыкова, И.С. Букина. – М.: Издательство Юрайт, 2013. – 428 с. – Серия : Магистр.</w:t>
      </w:r>
      <w:bookmarkEnd w:id="7"/>
    </w:p>
    <w:p w:rsidR="008D77E0" w:rsidRPr="009F4D14" w:rsidRDefault="008D77E0" w:rsidP="009F4D14">
      <w:pPr>
        <w:pStyle w:val="a8"/>
        <w:numPr>
          <w:ilvl w:val="0"/>
          <w:numId w:val="25"/>
        </w:numPr>
        <w:shd w:val="clear" w:color="auto" w:fill="FFFFFF"/>
        <w:ind w:left="0" w:firstLine="709"/>
        <w:jc w:val="both"/>
        <w:rPr>
          <w:color w:val="242424"/>
        </w:rPr>
      </w:pPr>
      <w:bookmarkStart w:id="8" w:name="_Ref8206553"/>
      <w:r w:rsidRPr="009F4D14">
        <w:rPr>
          <w:rFonts w:eastAsiaTheme="minorHAnsi"/>
          <w:color w:val="000000"/>
        </w:rPr>
        <w:t>Матрусов, Н.Д. Региональное прогнозирование и региональное развитие России / Н.Д. Матрусов. – М.: Наука, 1995. – 221 с.</w:t>
      </w:r>
      <w:bookmarkEnd w:id="8"/>
      <w:r w:rsidRPr="009F4D14">
        <w:rPr>
          <w:rFonts w:eastAsiaTheme="minorHAnsi"/>
          <w:color w:val="000000"/>
        </w:rPr>
        <w:t xml:space="preserve"> </w:t>
      </w:r>
    </w:p>
    <w:p w:rsidR="008D77E0" w:rsidRPr="00873271" w:rsidRDefault="008D77E0" w:rsidP="005E4BEA">
      <w:pPr>
        <w:pStyle w:val="a8"/>
        <w:numPr>
          <w:ilvl w:val="0"/>
          <w:numId w:val="25"/>
        </w:numPr>
        <w:ind w:left="0" w:firstLine="709"/>
        <w:jc w:val="both"/>
      </w:pPr>
      <w:bookmarkStart w:id="9" w:name="_Ref8724989"/>
      <w:r w:rsidRPr="005E4BEA">
        <w:rPr>
          <w:rFonts w:ascii="yandex-sans" w:hAnsi="yandex-sans"/>
          <w:sz w:val="23"/>
          <w:szCs w:val="23"/>
        </w:rPr>
        <w:t>Мураховская, Е.С. Налоговое регулирование формирования финансовых ресурсов территории. Диссертация на соискание учѐной степени кандидата экономических наук: 08.00.10. / Санкт-Петербург. 1997 г.</w:t>
      </w:r>
      <w:bookmarkEnd w:id="9"/>
    </w:p>
    <w:p w:rsidR="008D77E0" w:rsidRPr="000F214F" w:rsidRDefault="008D77E0" w:rsidP="000F214F">
      <w:pPr>
        <w:pStyle w:val="a8"/>
        <w:numPr>
          <w:ilvl w:val="0"/>
          <w:numId w:val="25"/>
        </w:numPr>
        <w:shd w:val="clear" w:color="auto" w:fill="FFFFFF"/>
        <w:ind w:left="0" w:firstLine="709"/>
        <w:jc w:val="both"/>
      </w:pPr>
      <w:bookmarkStart w:id="10" w:name="_Ref8206446"/>
      <w:bookmarkStart w:id="11" w:name="_Ref8724725"/>
      <w:r>
        <w:t>Налоговый кодекс РФ</w:t>
      </w:r>
      <w:bookmarkEnd w:id="10"/>
      <w:r>
        <w:t xml:space="preserve"> </w:t>
      </w:r>
      <w:r w:rsidRPr="000F214F">
        <w:t xml:space="preserve">от </w:t>
      </w:r>
      <w:r w:rsidRPr="000F214F">
        <w:rPr>
          <w:shd w:val="clear" w:color="auto" w:fill="FFFFFF"/>
        </w:rPr>
        <w:t>31</w:t>
      </w:r>
      <w:r w:rsidRPr="000F214F">
        <w:rPr>
          <w:rStyle w:val="nobr"/>
          <w:shd w:val="clear" w:color="auto" w:fill="FFFFFF"/>
        </w:rPr>
        <w:t>.07.</w:t>
      </w:r>
      <w:r w:rsidRPr="000F214F">
        <w:rPr>
          <w:shd w:val="clear" w:color="auto" w:fill="FFFFFF"/>
        </w:rPr>
        <w:t>1998</w:t>
      </w:r>
      <w:r w:rsidRPr="000F214F">
        <w:rPr>
          <w:rStyle w:val="nobr"/>
          <w:shd w:val="clear" w:color="auto" w:fill="FFFFFF"/>
        </w:rPr>
        <w:t> </w:t>
      </w:r>
      <w:r w:rsidRPr="000F214F">
        <w:rPr>
          <w:shd w:val="clear" w:color="auto" w:fill="FFFFFF"/>
        </w:rPr>
        <w:t>года N</w:t>
      </w:r>
      <w:r w:rsidRPr="000F214F">
        <w:rPr>
          <w:rStyle w:val="nobr"/>
          <w:shd w:val="clear" w:color="auto" w:fill="FFFFFF"/>
        </w:rPr>
        <w:t> </w:t>
      </w:r>
      <w:r w:rsidRPr="000F214F">
        <w:rPr>
          <w:shd w:val="clear" w:color="auto" w:fill="FFFFFF"/>
        </w:rPr>
        <w:t>146-ФЗ</w:t>
      </w:r>
      <w:r w:rsidRPr="000F214F">
        <w:rPr>
          <w:rFonts w:ascii="Arial" w:hAnsi="Arial" w:cs="Arial"/>
          <w:shd w:val="clear" w:color="auto" w:fill="FFFFFF"/>
        </w:rPr>
        <w:t xml:space="preserve"> </w:t>
      </w:r>
      <w:r w:rsidRPr="000F214F">
        <w:rPr>
          <w:shd w:val="clear" w:color="auto" w:fill="FFFFFF"/>
        </w:rPr>
        <w:t>(с изменениями и дополнениями) [Электронный ресурс]: Справочно-правовая система "Консультант Плюс" / Режим доступа:http://www.consultant.ru/</w:t>
      </w:r>
      <w:r>
        <w:rPr>
          <w:shd w:val="clear" w:color="auto" w:fill="FFFFFF"/>
        </w:rPr>
        <w:t>.</w:t>
      </w:r>
      <w:bookmarkEnd w:id="11"/>
    </w:p>
    <w:p w:rsidR="008D77E0" w:rsidRPr="00200F93" w:rsidRDefault="008D77E0" w:rsidP="00FC21DF">
      <w:pPr>
        <w:pStyle w:val="a8"/>
        <w:numPr>
          <w:ilvl w:val="0"/>
          <w:numId w:val="25"/>
        </w:numPr>
        <w:shd w:val="clear" w:color="auto" w:fill="FFFFFF"/>
        <w:ind w:left="0" w:firstLine="709"/>
        <w:jc w:val="both"/>
        <w:rPr>
          <w:color w:val="242424"/>
        </w:rPr>
      </w:pPr>
      <w:bookmarkStart w:id="12" w:name="_Ref8206582"/>
      <w:r w:rsidRPr="00200F93">
        <w:rPr>
          <w:rFonts w:eastAsiaTheme="minorHAnsi"/>
          <w:color w:val="000000"/>
        </w:rPr>
        <w:t>О Методических рекомендациях субъектам Российской Федерации и муниципальным образованиям по регулированию межбюджетных отношений: [приказ Министерства финансов Российской Федерации от 27.08.2004 № 243. [Электронный ресурс] // СПС «КонсультантПлюс»: Законодательство: Версия Проф. – Режим доступа: http://www.consultant.ru/document/cons_doc_LAW_174663/.</w:t>
      </w:r>
      <w:bookmarkEnd w:id="12"/>
      <w:r w:rsidRPr="00200F93">
        <w:rPr>
          <w:rFonts w:eastAsiaTheme="minorHAnsi"/>
          <w:color w:val="000000"/>
        </w:rPr>
        <w:t xml:space="preserve"> </w:t>
      </w:r>
    </w:p>
    <w:p w:rsidR="008D77E0" w:rsidRPr="00200F93" w:rsidRDefault="008D77E0" w:rsidP="00FC21DF">
      <w:pPr>
        <w:pStyle w:val="a8"/>
        <w:numPr>
          <w:ilvl w:val="0"/>
          <w:numId w:val="25"/>
        </w:numPr>
        <w:shd w:val="clear" w:color="auto" w:fill="FFFFFF"/>
        <w:ind w:left="0" w:firstLine="709"/>
        <w:jc w:val="both"/>
        <w:rPr>
          <w:color w:val="242424"/>
        </w:rPr>
      </w:pPr>
      <w:bookmarkStart w:id="13" w:name="_Ref8206481"/>
      <w:r w:rsidRPr="00200F93">
        <w:rPr>
          <w:rFonts w:eastAsiaTheme="minorHAnsi"/>
          <w:color w:val="000000"/>
        </w:rPr>
        <w:t>Пансков, В.Г. Налоги и налогообложение в Российской Федерации: учебник для вузов. – 7-е изд., доп. и перераб. / В.Г. Пансков. – М.: МЦФЭР, 2006. – 592 с.</w:t>
      </w:r>
      <w:bookmarkEnd w:id="13"/>
      <w:r w:rsidRPr="00200F93">
        <w:rPr>
          <w:rFonts w:eastAsiaTheme="minorHAnsi"/>
          <w:color w:val="000000"/>
        </w:rPr>
        <w:t xml:space="preserve"> </w:t>
      </w:r>
    </w:p>
    <w:p w:rsidR="008D77E0" w:rsidRPr="00FB0E22" w:rsidRDefault="008D77E0" w:rsidP="00FB0E22">
      <w:pPr>
        <w:pStyle w:val="a8"/>
        <w:numPr>
          <w:ilvl w:val="0"/>
          <w:numId w:val="25"/>
        </w:numPr>
        <w:shd w:val="clear" w:color="auto" w:fill="FFFFFF"/>
        <w:ind w:left="0" w:firstLine="709"/>
        <w:jc w:val="both"/>
        <w:rPr>
          <w:color w:val="242424"/>
        </w:rPr>
      </w:pPr>
      <w:bookmarkStart w:id="14" w:name="_Ref8206573"/>
      <w:r>
        <w:t>Предложения по проекту методических рекомендаций по оценке налогового потенциала муниципальных образований // материалы семинара-совещания по проблемам совершенствования межбюджетных отношений / под ред. С.Н. Хурсевича. – М.: Минэкономики РФ, 2007.</w:t>
      </w:r>
      <w:bookmarkEnd w:id="14"/>
    </w:p>
    <w:p w:rsidR="008D77E0" w:rsidRPr="00873271" w:rsidRDefault="008D77E0" w:rsidP="005E4BEA">
      <w:pPr>
        <w:pStyle w:val="a8"/>
        <w:numPr>
          <w:ilvl w:val="0"/>
          <w:numId w:val="25"/>
        </w:numPr>
        <w:ind w:left="0" w:firstLine="709"/>
        <w:jc w:val="both"/>
      </w:pPr>
      <w:bookmarkStart w:id="15" w:name="_Ref8731849"/>
      <w:r>
        <w:rPr>
          <w:rFonts w:ascii="yandex-sans" w:hAnsi="yandex-sans"/>
          <w:sz w:val="23"/>
          <w:szCs w:val="23"/>
        </w:rPr>
        <w:t>Пугачев А.А., Парфенова Л.Б. Теоретические подходы к определению сущности налогового потенциала региона // Вестник ТвГУ. «Экономика и управление».</w:t>
      </w:r>
      <w:r w:rsidRPr="008D77E0">
        <w:rPr>
          <w:rFonts w:eastAsiaTheme="minorHAnsi"/>
          <w:color w:val="000000"/>
        </w:rPr>
        <w:t xml:space="preserve"> </w:t>
      </w:r>
      <w:r w:rsidRPr="00200F93">
        <w:rPr>
          <w:rFonts w:eastAsiaTheme="minorHAnsi"/>
          <w:color w:val="000000"/>
        </w:rPr>
        <w:t>–</w:t>
      </w:r>
      <w:r>
        <w:rPr>
          <w:rFonts w:ascii="yandex-sans" w:hAnsi="yandex-sans"/>
          <w:sz w:val="23"/>
          <w:szCs w:val="23"/>
        </w:rPr>
        <w:t xml:space="preserve"> 2013.</w:t>
      </w:r>
      <w:r w:rsidRPr="008D77E0">
        <w:rPr>
          <w:rFonts w:eastAsiaTheme="minorHAnsi"/>
          <w:color w:val="000000"/>
        </w:rPr>
        <w:t xml:space="preserve"> </w:t>
      </w:r>
      <w:r w:rsidRPr="00200F93">
        <w:rPr>
          <w:rFonts w:eastAsiaTheme="minorHAnsi"/>
          <w:color w:val="000000"/>
        </w:rPr>
        <w:t>–</w:t>
      </w:r>
      <w:r>
        <w:rPr>
          <w:rFonts w:ascii="yandex-sans" w:hAnsi="yandex-sans"/>
          <w:sz w:val="23"/>
          <w:szCs w:val="23"/>
        </w:rPr>
        <w:t xml:space="preserve"> №19. </w:t>
      </w:r>
      <w:r w:rsidRPr="00200F93">
        <w:rPr>
          <w:rFonts w:eastAsiaTheme="minorHAnsi"/>
          <w:color w:val="000000"/>
        </w:rPr>
        <w:t>–</w:t>
      </w:r>
      <w:r>
        <w:rPr>
          <w:rFonts w:eastAsiaTheme="minorHAnsi"/>
          <w:color w:val="000000"/>
        </w:rPr>
        <w:t xml:space="preserve"> </w:t>
      </w:r>
      <w:r>
        <w:rPr>
          <w:rFonts w:ascii="yandex-sans" w:hAnsi="yandex-sans"/>
          <w:sz w:val="23"/>
          <w:szCs w:val="23"/>
        </w:rPr>
        <w:t>С. 43-59</w:t>
      </w:r>
      <w:bookmarkEnd w:id="15"/>
    </w:p>
    <w:p w:rsidR="008D77E0" w:rsidRPr="00200F93" w:rsidRDefault="008D77E0" w:rsidP="00FC21DF">
      <w:pPr>
        <w:pStyle w:val="a8"/>
        <w:numPr>
          <w:ilvl w:val="0"/>
          <w:numId w:val="25"/>
        </w:numPr>
        <w:shd w:val="clear" w:color="auto" w:fill="FFFFFF"/>
        <w:ind w:left="0" w:firstLine="709"/>
        <w:jc w:val="both"/>
        <w:rPr>
          <w:color w:val="242424"/>
        </w:rPr>
      </w:pPr>
      <w:bookmarkStart w:id="16" w:name="_Ref8206527"/>
      <w:r w:rsidRPr="00200F93">
        <w:rPr>
          <w:rFonts w:eastAsiaTheme="minorHAnsi"/>
          <w:color w:val="000000"/>
        </w:rPr>
        <w:lastRenderedPageBreak/>
        <w:t>Россия и проблемы бюджетно-налогового федерализма // Всемирный банк: Программа технического сотрудничества «Бюджетные отношения между органами власти различных уровней в Российской Федерации» / под ред. К. Валлих. – М.: Известия, 1993. – 207 с.</w:t>
      </w:r>
      <w:bookmarkEnd w:id="16"/>
      <w:r w:rsidRPr="00200F93">
        <w:rPr>
          <w:rFonts w:eastAsiaTheme="minorHAnsi"/>
          <w:color w:val="000000"/>
        </w:rPr>
        <w:t xml:space="preserve"> </w:t>
      </w:r>
    </w:p>
    <w:p w:rsidR="008D77E0" w:rsidRPr="005E4BEA" w:rsidRDefault="008D77E0" w:rsidP="00DC06BA">
      <w:pPr>
        <w:pStyle w:val="a8"/>
        <w:numPr>
          <w:ilvl w:val="0"/>
          <w:numId w:val="25"/>
        </w:numPr>
        <w:shd w:val="clear" w:color="auto" w:fill="FFFFFF"/>
        <w:ind w:left="0" w:firstLine="709"/>
        <w:jc w:val="both"/>
      </w:pPr>
      <w:bookmarkStart w:id="17" w:name="_Ref8724962"/>
      <w:r w:rsidRPr="005E4BEA">
        <w:rPr>
          <w:rFonts w:ascii="yandex-sans" w:hAnsi="yandex-sans"/>
          <w:sz w:val="23"/>
          <w:szCs w:val="23"/>
          <w:shd w:val="clear" w:color="auto" w:fill="FFFFFF"/>
        </w:rPr>
        <w:t xml:space="preserve">Юткина, Т.Ф. Налоги и налогообложение: Учеб. для студентов / Т.Ф. Юткина. М.: ИНФРА </w:t>
      </w:r>
      <w:r w:rsidR="006D4E43" w:rsidRPr="00200F93">
        <w:rPr>
          <w:rFonts w:eastAsiaTheme="minorHAnsi"/>
          <w:color w:val="000000"/>
        </w:rPr>
        <w:t>–</w:t>
      </w:r>
      <w:r w:rsidR="006D4E43" w:rsidRPr="003171AA">
        <w:rPr>
          <w:rFonts w:eastAsiaTheme="minorHAnsi"/>
          <w:color w:val="000000"/>
        </w:rPr>
        <w:t xml:space="preserve"> </w:t>
      </w:r>
      <w:r w:rsidRPr="005E4BEA">
        <w:rPr>
          <w:rFonts w:ascii="yandex-sans" w:hAnsi="yandex-sans"/>
          <w:sz w:val="23"/>
          <w:szCs w:val="23"/>
          <w:shd w:val="clear" w:color="auto" w:fill="FFFFFF"/>
        </w:rPr>
        <w:t>М</w:t>
      </w:r>
      <w:r w:rsidR="006D4E43" w:rsidRPr="003171AA">
        <w:rPr>
          <w:rFonts w:ascii="yandex-sans" w:hAnsi="yandex-sans"/>
          <w:sz w:val="23"/>
          <w:szCs w:val="23"/>
          <w:shd w:val="clear" w:color="auto" w:fill="FFFFFF"/>
        </w:rPr>
        <w:t>.</w:t>
      </w:r>
      <w:r w:rsidRPr="005E4BEA">
        <w:rPr>
          <w:rFonts w:ascii="yandex-sans" w:hAnsi="yandex-sans"/>
          <w:sz w:val="23"/>
          <w:szCs w:val="23"/>
          <w:shd w:val="clear" w:color="auto" w:fill="FFFFFF"/>
        </w:rPr>
        <w:t>, 2002 г.</w:t>
      </w:r>
      <w:bookmarkEnd w:id="17"/>
    </w:p>
    <w:p w:rsidR="00873271" w:rsidRPr="005E4BEA" w:rsidRDefault="00873271" w:rsidP="008D77E0">
      <w:pPr>
        <w:jc w:val="both"/>
      </w:pPr>
    </w:p>
    <w:p w:rsidR="008E77F0" w:rsidRPr="00F8266D" w:rsidRDefault="00F8266D" w:rsidP="00F8266D">
      <w:pPr>
        <w:pStyle w:val="a8"/>
        <w:shd w:val="clear" w:color="auto" w:fill="FFFFFF"/>
        <w:ind w:left="709"/>
        <w:jc w:val="center"/>
        <w:rPr>
          <w:b/>
        </w:rPr>
      </w:pPr>
      <w:r w:rsidRPr="00F8266D">
        <w:rPr>
          <w:b/>
        </w:rPr>
        <w:t>Информация об авторе</w:t>
      </w:r>
    </w:p>
    <w:p w:rsidR="00DB500E" w:rsidRPr="00FD503E" w:rsidRDefault="00DB500E" w:rsidP="00FD5980">
      <w:pPr>
        <w:widowControl w:val="0"/>
        <w:ind w:firstLine="709"/>
        <w:jc w:val="both"/>
      </w:pPr>
      <w:r w:rsidRPr="00DB500E">
        <w:t>Васильева Татьяна Сергеевна</w:t>
      </w:r>
      <w:r>
        <w:t xml:space="preserve"> (Россия, г. Вологда) – </w:t>
      </w:r>
      <w:r w:rsidRPr="00BD76A7">
        <w:rPr>
          <w:b/>
        </w:rPr>
        <w:t xml:space="preserve"> </w:t>
      </w:r>
      <w:r w:rsidRPr="00BD76A7">
        <w:t>инженер-исследователь отдела проблем социально-экономического развития и управл</w:t>
      </w:r>
      <w:r w:rsidRPr="001D590E">
        <w:t>ения в территориальных системах Вологодского научного центра РАН</w:t>
      </w:r>
      <w:r>
        <w:t xml:space="preserve"> </w:t>
      </w:r>
      <w:r w:rsidRPr="00FD503E">
        <w:t>(</w:t>
      </w:r>
      <w:r w:rsidR="00FD503E">
        <w:rPr>
          <w:bCs/>
        </w:rPr>
        <w:t>160014,</w:t>
      </w:r>
      <w:r w:rsidR="00FD503E" w:rsidRPr="00FD503E">
        <w:rPr>
          <w:bCs/>
        </w:rPr>
        <w:t xml:space="preserve"> г. Вологда, ул. Горького, д. 56а</w:t>
      </w:r>
      <w:r w:rsidR="00FD503E" w:rsidRPr="00FD503E">
        <w:t xml:space="preserve"> </w:t>
      </w:r>
      <w:r w:rsidRPr="00FD503E">
        <w:rPr>
          <w:lang w:val="en-US"/>
        </w:rPr>
        <w:t>e</w:t>
      </w:r>
      <w:r w:rsidRPr="00FD503E">
        <w:t>-</w:t>
      </w:r>
      <w:r w:rsidRPr="00FD503E">
        <w:rPr>
          <w:lang w:val="en-US"/>
        </w:rPr>
        <w:t>mail</w:t>
      </w:r>
      <w:r w:rsidRPr="00FD503E">
        <w:t xml:space="preserve">: </w:t>
      </w:r>
      <w:hyperlink r:id="rId9" w:history="1">
        <w:r w:rsidRPr="00FD503E">
          <w:rPr>
            <w:rStyle w:val="ad"/>
            <w:color w:val="auto"/>
            <w:u w:val="none"/>
            <w:lang w:val="en-US"/>
          </w:rPr>
          <w:t>vasilievats</w:t>
        </w:r>
        <w:r w:rsidRPr="00FD503E">
          <w:rPr>
            <w:rStyle w:val="ad"/>
            <w:color w:val="auto"/>
            <w:u w:val="none"/>
          </w:rPr>
          <w:t>@</w:t>
        </w:r>
        <w:r w:rsidRPr="00FD503E">
          <w:rPr>
            <w:rStyle w:val="ad"/>
            <w:color w:val="auto"/>
            <w:u w:val="none"/>
            <w:lang w:val="en-US"/>
          </w:rPr>
          <w:t>mail</w:t>
        </w:r>
        <w:r w:rsidRPr="00FD503E">
          <w:rPr>
            <w:rStyle w:val="ad"/>
            <w:color w:val="auto"/>
            <w:u w:val="none"/>
          </w:rPr>
          <w:t>.</w:t>
        </w:r>
        <w:r w:rsidRPr="00FD503E">
          <w:rPr>
            <w:rStyle w:val="ad"/>
            <w:color w:val="auto"/>
            <w:u w:val="none"/>
            <w:lang w:val="en-US"/>
          </w:rPr>
          <w:t>ru</w:t>
        </w:r>
      </w:hyperlink>
      <w:r w:rsidR="00FD503E" w:rsidRPr="00FD503E">
        <w:rPr>
          <w:rStyle w:val="ad"/>
          <w:color w:val="auto"/>
          <w:u w:val="none"/>
        </w:rPr>
        <w:t>)</w:t>
      </w:r>
    </w:p>
    <w:p w:rsidR="008E77F0" w:rsidRDefault="008E77F0" w:rsidP="008E77F0">
      <w:pPr>
        <w:pStyle w:val="a8"/>
        <w:shd w:val="clear" w:color="auto" w:fill="FFFFFF"/>
        <w:ind w:left="709"/>
        <w:jc w:val="both"/>
      </w:pPr>
    </w:p>
    <w:p w:rsidR="00FD5980" w:rsidRDefault="00FD5980" w:rsidP="00FD5980">
      <w:pPr>
        <w:widowControl w:val="0"/>
        <w:jc w:val="right"/>
        <w:rPr>
          <w:b/>
        </w:rPr>
      </w:pPr>
      <w:r w:rsidRPr="001D590E">
        <w:rPr>
          <w:b/>
          <w:lang w:val="en-US"/>
        </w:rPr>
        <w:t>Vasil</w:t>
      </w:r>
      <w:r w:rsidRPr="000A0DB9">
        <w:rPr>
          <w:b/>
        </w:rPr>
        <w:t>’</w:t>
      </w:r>
      <w:r w:rsidRPr="001D590E">
        <w:rPr>
          <w:b/>
          <w:lang w:val="en-US"/>
        </w:rPr>
        <w:t>eva</w:t>
      </w:r>
      <w:r w:rsidRPr="000A0DB9">
        <w:rPr>
          <w:b/>
        </w:rPr>
        <w:t xml:space="preserve"> </w:t>
      </w:r>
      <w:r w:rsidRPr="001D590E">
        <w:rPr>
          <w:b/>
          <w:lang w:val="en-US"/>
        </w:rPr>
        <w:t>T</w:t>
      </w:r>
      <w:r w:rsidRPr="000A0DB9">
        <w:rPr>
          <w:b/>
        </w:rPr>
        <w:t>.</w:t>
      </w:r>
      <w:r w:rsidRPr="001D590E">
        <w:rPr>
          <w:b/>
          <w:lang w:val="en-US"/>
        </w:rPr>
        <w:t>S</w:t>
      </w:r>
      <w:r w:rsidRPr="000A0DB9">
        <w:rPr>
          <w:b/>
        </w:rPr>
        <w:t xml:space="preserve">. </w:t>
      </w:r>
    </w:p>
    <w:p w:rsidR="00B15247" w:rsidRPr="00B15247" w:rsidRDefault="00B15247" w:rsidP="00FD5980">
      <w:pPr>
        <w:widowControl w:val="0"/>
        <w:jc w:val="right"/>
        <w:rPr>
          <w:b/>
        </w:rPr>
      </w:pPr>
    </w:p>
    <w:p w:rsidR="00FD5980" w:rsidRPr="00FD5980" w:rsidRDefault="00FD5980" w:rsidP="00FD5980">
      <w:pPr>
        <w:widowControl w:val="0"/>
        <w:jc w:val="center"/>
        <w:rPr>
          <w:b/>
          <w:lang w:val="en-US"/>
        </w:rPr>
      </w:pPr>
      <w:r w:rsidRPr="00FD5980">
        <w:rPr>
          <w:b/>
          <w:lang w:val="en-US"/>
        </w:rPr>
        <w:t>TO THE QUESTION OF DETERMINING THE NATURE OF THE TAX POTENTIAL IN THE FRAMEWORK OF THE MAIN APPROACHES.</w:t>
      </w:r>
    </w:p>
    <w:p w:rsidR="00FD5980" w:rsidRPr="001D6DEF" w:rsidRDefault="00FD5980" w:rsidP="00FD5980">
      <w:pPr>
        <w:shd w:val="clear" w:color="auto" w:fill="FFFFFF"/>
        <w:jc w:val="both"/>
        <w:rPr>
          <w:lang w:val="en-US"/>
        </w:rPr>
      </w:pPr>
    </w:p>
    <w:p w:rsidR="00FD5980" w:rsidRPr="00FD5980" w:rsidRDefault="00FD5980" w:rsidP="00FD5980">
      <w:pPr>
        <w:shd w:val="clear" w:color="auto" w:fill="FFFFFF"/>
        <w:ind w:firstLine="709"/>
        <w:jc w:val="both"/>
        <w:rPr>
          <w:i/>
          <w:lang w:val="en-US"/>
        </w:rPr>
      </w:pPr>
      <w:r w:rsidRPr="00FD5980">
        <w:rPr>
          <w:b/>
          <w:i/>
          <w:lang w:val="en-US"/>
        </w:rPr>
        <w:t>Annotation</w:t>
      </w:r>
      <w:r w:rsidRPr="00FD5980">
        <w:rPr>
          <w:b/>
          <w:lang w:val="en-US"/>
        </w:rPr>
        <w:t>:</w:t>
      </w:r>
      <w:r w:rsidRPr="00FD5980">
        <w:rPr>
          <w:lang w:val="en-US"/>
        </w:rPr>
        <w:t xml:space="preserve"> </w:t>
      </w:r>
      <w:r w:rsidRPr="00FD5980">
        <w:rPr>
          <w:i/>
          <w:lang w:val="en-US"/>
        </w:rPr>
        <w:t>The paper analyzes the views of different authors on the justification of the economic essence of the tax potential with</w:t>
      </w:r>
      <w:r w:rsidR="007D5476">
        <w:rPr>
          <w:i/>
          <w:lang w:val="en-US"/>
        </w:rPr>
        <w:t>in the resource, fiscal, inter-budget</w:t>
      </w:r>
      <w:r w:rsidRPr="00FD5980">
        <w:rPr>
          <w:i/>
          <w:lang w:val="en-US"/>
        </w:rPr>
        <w:t xml:space="preserve"> approaches. The main differences between them are revealed.</w:t>
      </w:r>
    </w:p>
    <w:p w:rsidR="00FD5980" w:rsidRPr="00FD5980" w:rsidRDefault="00FD5980" w:rsidP="00FD5980">
      <w:pPr>
        <w:pStyle w:val="a8"/>
        <w:shd w:val="clear" w:color="auto" w:fill="FFFFFF"/>
        <w:ind w:left="709"/>
        <w:jc w:val="both"/>
        <w:rPr>
          <w:i/>
          <w:lang w:val="en-US"/>
        </w:rPr>
      </w:pPr>
    </w:p>
    <w:p w:rsidR="00FD5980" w:rsidRPr="000A0DB9" w:rsidRDefault="00FD5980" w:rsidP="00FD5980">
      <w:pPr>
        <w:shd w:val="clear" w:color="auto" w:fill="FFFFFF"/>
        <w:ind w:firstLine="709"/>
        <w:jc w:val="both"/>
        <w:rPr>
          <w:i/>
          <w:lang w:val="en-US"/>
        </w:rPr>
      </w:pPr>
      <w:r w:rsidRPr="00FD5980">
        <w:rPr>
          <w:b/>
          <w:i/>
          <w:lang w:val="en-US"/>
        </w:rPr>
        <w:t>Keywords:</w:t>
      </w:r>
      <w:r w:rsidRPr="00FD5980">
        <w:rPr>
          <w:i/>
          <w:lang w:val="en-US"/>
        </w:rPr>
        <w:t xml:space="preserve"> potential, tax potential, resource ap</w:t>
      </w:r>
      <w:r w:rsidR="007D5476">
        <w:rPr>
          <w:i/>
          <w:lang w:val="en-US"/>
        </w:rPr>
        <w:t>proach, fiscal approach, inter-budget</w:t>
      </w:r>
      <w:r w:rsidRPr="00FD5980">
        <w:rPr>
          <w:i/>
          <w:lang w:val="en-US"/>
        </w:rPr>
        <w:t xml:space="preserve"> approach.</w:t>
      </w:r>
    </w:p>
    <w:p w:rsidR="00480314" w:rsidRPr="00CE4EDF" w:rsidRDefault="00480314" w:rsidP="00480314">
      <w:pPr>
        <w:suppressAutoHyphens/>
        <w:jc w:val="center"/>
        <w:rPr>
          <w:b/>
          <w:lang w:val="en-US"/>
        </w:rPr>
      </w:pPr>
      <w:r w:rsidRPr="00876524">
        <w:rPr>
          <w:b/>
          <w:shd w:val="clear" w:color="auto" w:fill="FFFFFF"/>
          <w:lang w:val="en-US"/>
        </w:rPr>
        <w:t>List of references</w:t>
      </w:r>
      <w:r w:rsidRPr="00876524">
        <w:rPr>
          <w:b/>
          <w:lang w:val="en-US"/>
        </w:rPr>
        <w:t xml:space="preserve"> </w:t>
      </w:r>
    </w:p>
    <w:p w:rsidR="00480314" w:rsidRPr="00CE4EDF" w:rsidRDefault="00480314" w:rsidP="00480314">
      <w:pPr>
        <w:suppressAutoHyphens/>
        <w:jc w:val="center"/>
        <w:rPr>
          <w:b/>
          <w:lang w:val="en-US"/>
        </w:rPr>
      </w:pPr>
    </w:p>
    <w:p w:rsidR="00CE4EDF" w:rsidRPr="00CE4EDF" w:rsidRDefault="005E316E" w:rsidP="00CE4EDF">
      <w:pPr>
        <w:shd w:val="clear" w:color="auto" w:fill="FFFFFF"/>
        <w:ind w:firstLine="709"/>
        <w:jc w:val="both"/>
        <w:rPr>
          <w:lang w:val="en-US"/>
        </w:rPr>
      </w:pPr>
      <w:r w:rsidRPr="00EE0484">
        <w:rPr>
          <w:lang w:val="en-US"/>
        </w:rPr>
        <w:t>1.</w:t>
      </w:r>
      <w:r w:rsidRPr="00EE0484">
        <w:rPr>
          <w:lang w:val="en-US"/>
        </w:rPr>
        <w:tab/>
      </w:r>
      <w:r w:rsidR="00CE4EDF" w:rsidRPr="00CE4EDF">
        <w:rPr>
          <w:lang w:val="en-US"/>
        </w:rPr>
        <w:t xml:space="preserve">Bogacheva, O. V. Tax potential and regional accounts / O. V. Bogacheva // Finance. – 2000. – №2. – P. 29 - 32; №3. – P. 21 - 23. </w:t>
      </w:r>
    </w:p>
    <w:p w:rsidR="00CE4EDF" w:rsidRPr="00CE4EDF" w:rsidRDefault="00CE4EDF" w:rsidP="00CE4EDF">
      <w:pPr>
        <w:shd w:val="clear" w:color="auto" w:fill="FFFFFF"/>
        <w:ind w:firstLine="709"/>
        <w:jc w:val="both"/>
        <w:rPr>
          <w:lang w:val="en-US"/>
        </w:rPr>
      </w:pPr>
      <w:r w:rsidRPr="00CE4EDF">
        <w:rPr>
          <w:lang w:val="en-US"/>
        </w:rPr>
        <w:t>2.</w:t>
      </w:r>
      <w:r w:rsidRPr="00CE4EDF">
        <w:rPr>
          <w:lang w:val="en-US"/>
        </w:rPr>
        <w:tab/>
        <w:t xml:space="preserve">Bushinskaya, T. V. Regional tax policy and peculiarities of its implementation (on the example of Tula region): author's abstract. dis. kand. Econ. Sciences: 08.00.10 / Bushinskaya Tatiana. – M., 2009. – 24 p. </w:t>
      </w:r>
    </w:p>
    <w:p w:rsidR="00CE4EDF" w:rsidRPr="00CE4EDF" w:rsidRDefault="00CE4EDF" w:rsidP="00CE4EDF">
      <w:pPr>
        <w:shd w:val="clear" w:color="auto" w:fill="FFFFFF"/>
        <w:ind w:firstLine="709"/>
        <w:jc w:val="both"/>
        <w:rPr>
          <w:lang w:val="en-US"/>
        </w:rPr>
      </w:pPr>
      <w:r w:rsidRPr="00CE4EDF">
        <w:rPr>
          <w:lang w:val="en-US"/>
        </w:rPr>
        <w:t>3.</w:t>
      </w:r>
      <w:r w:rsidRPr="00CE4EDF">
        <w:rPr>
          <w:lang w:val="en-US"/>
        </w:rPr>
        <w:tab/>
        <w:t>Budget code of the Russian Federation of 31.07.1998 № 145-FZ (as amended) [Electronic resource]: legal reference system "Consultant Plus" / Mode of access:http://www.consultant.ru/.</w:t>
      </w:r>
    </w:p>
    <w:p w:rsidR="00CE4EDF" w:rsidRPr="00CE4EDF" w:rsidRDefault="00CE4EDF" w:rsidP="00CE4EDF">
      <w:pPr>
        <w:shd w:val="clear" w:color="auto" w:fill="FFFFFF"/>
        <w:ind w:firstLine="709"/>
        <w:jc w:val="both"/>
        <w:rPr>
          <w:lang w:val="en-US"/>
        </w:rPr>
      </w:pPr>
      <w:r w:rsidRPr="00CE4EDF">
        <w:rPr>
          <w:lang w:val="en-US"/>
        </w:rPr>
        <w:t>4.</w:t>
      </w:r>
      <w:r w:rsidRPr="00CE4EDF">
        <w:rPr>
          <w:lang w:val="en-US"/>
        </w:rPr>
        <w:tab/>
        <w:t xml:space="preserve">Karataev, A. S. Factors affecting the tax potential of the largest taxpayer // Finance.. – 2010. – № 1 </w:t>
      </w:r>
    </w:p>
    <w:p w:rsidR="00CE4EDF" w:rsidRPr="00CE4EDF" w:rsidRDefault="00CE4EDF" w:rsidP="00CE4EDF">
      <w:pPr>
        <w:shd w:val="clear" w:color="auto" w:fill="FFFFFF"/>
        <w:ind w:firstLine="709"/>
        <w:jc w:val="both"/>
        <w:rPr>
          <w:lang w:val="en-US"/>
        </w:rPr>
      </w:pPr>
      <w:r w:rsidRPr="00CE4EDF">
        <w:rPr>
          <w:lang w:val="en-US"/>
        </w:rPr>
        <w:t>5.</w:t>
      </w:r>
      <w:r w:rsidRPr="00CE4EDF">
        <w:rPr>
          <w:lang w:val="en-US"/>
        </w:rPr>
        <w:tab/>
        <w:t>Kirillova S. S. How to determine the tax potential of the region? // Regional Economics: theory and practice – 2004. – №5.</w:t>
      </w:r>
    </w:p>
    <w:p w:rsidR="00CE4EDF" w:rsidRPr="00CE4EDF" w:rsidRDefault="00CE4EDF" w:rsidP="00CE4EDF">
      <w:pPr>
        <w:shd w:val="clear" w:color="auto" w:fill="FFFFFF"/>
        <w:ind w:firstLine="709"/>
        <w:jc w:val="both"/>
        <w:rPr>
          <w:lang w:val="en-US"/>
        </w:rPr>
      </w:pPr>
      <w:r w:rsidRPr="00CE4EDF">
        <w:rPr>
          <w:lang w:val="en-US"/>
        </w:rPr>
        <w:t>6.</w:t>
      </w:r>
      <w:r w:rsidRPr="00CE4EDF">
        <w:rPr>
          <w:lang w:val="en-US"/>
        </w:rPr>
        <w:tab/>
        <w:t>Kolomiets, A. L. On the concepts of tax and financial potential of the region [Electronic resource] // Tax Bulletin. – Mode of access: http://www.nalvest.com/nv-articles/detail.php?ID=3192</w:t>
      </w:r>
    </w:p>
    <w:p w:rsidR="00CE4EDF" w:rsidRPr="00CE4EDF" w:rsidRDefault="00CE4EDF" w:rsidP="00CE4EDF">
      <w:pPr>
        <w:shd w:val="clear" w:color="auto" w:fill="FFFFFF"/>
        <w:ind w:firstLine="709"/>
        <w:jc w:val="both"/>
        <w:rPr>
          <w:lang w:val="en-US"/>
        </w:rPr>
      </w:pPr>
      <w:r w:rsidRPr="00CE4EDF">
        <w:rPr>
          <w:lang w:val="en-US"/>
        </w:rPr>
        <w:t>7.</w:t>
      </w:r>
      <w:r w:rsidRPr="00CE4EDF">
        <w:rPr>
          <w:lang w:val="en-US"/>
        </w:rPr>
        <w:tab/>
        <w:t>Lykova L. N., Tax systems of foreign countries: textbook for masters / L. N. Lykova, I. S. Bukina. – Moscow: Yurayt Publishing House, 2013. – 428 p. – Series : Master.</w:t>
      </w:r>
    </w:p>
    <w:p w:rsidR="00CE4EDF" w:rsidRPr="00CE4EDF" w:rsidRDefault="00CE4EDF" w:rsidP="00CE4EDF">
      <w:pPr>
        <w:shd w:val="clear" w:color="auto" w:fill="FFFFFF"/>
        <w:ind w:firstLine="709"/>
        <w:jc w:val="both"/>
        <w:rPr>
          <w:lang w:val="en-US"/>
        </w:rPr>
      </w:pPr>
      <w:r w:rsidRPr="00CE4EDF">
        <w:rPr>
          <w:lang w:val="en-US"/>
        </w:rPr>
        <w:t>8.</w:t>
      </w:r>
      <w:r w:rsidRPr="00CE4EDF">
        <w:rPr>
          <w:lang w:val="en-US"/>
        </w:rPr>
        <w:tab/>
        <w:t xml:space="preserve">Matrusov, N. D. Regional forecasting and regional development of Russia / N. D. Matrusov. – M.: Science, 1995. – 221 p. </w:t>
      </w:r>
    </w:p>
    <w:p w:rsidR="00CE4EDF" w:rsidRPr="00CE4EDF" w:rsidRDefault="00CE4EDF" w:rsidP="00CE4EDF">
      <w:pPr>
        <w:shd w:val="clear" w:color="auto" w:fill="FFFFFF"/>
        <w:ind w:firstLine="709"/>
        <w:jc w:val="both"/>
        <w:rPr>
          <w:lang w:val="en-US"/>
        </w:rPr>
      </w:pPr>
      <w:r w:rsidRPr="00CE4EDF">
        <w:rPr>
          <w:lang w:val="en-US"/>
        </w:rPr>
        <w:t>9.</w:t>
      </w:r>
      <w:r w:rsidRPr="00CE4EDF">
        <w:rPr>
          <w:lang w:val="en-US"/>
        </w:rPr>
        <w:tab/>
        <w:t>Murakhovski, E. S. Tax control over the formation of financial resources of the territory. Thesis for the degree of candidate of economic Sciences: 08.00.10. / Saint-Petersburg. One thousand nine hundred ninety seven</w:t>
      </w:r>
    </w:p>
    <w:p w:rsidR="00CE4EDF" w:rsidRPr="00CE4EDF" w:rsidRDefault="00CE4EDF" w:rsidP="00CE4EDF">
      <w:pPr>
        <w:shd w:val="clear" w:color="auto" w:fill="FFFFFF"/>
        <w:ind w:firstLine="709"/>
        <w:jc w:val="both"/>
        <w:rPr>
          <w:lang w:val="en-US"/>
        </w:rPr>
      </w:pPr>
      <w:r w:rsidRPr="00CE4EDF">
        <w:rPr>
          <w:lang w:val="en-US"/>
        </w:rPr>
        <w:t>10.</w:t>
      </w:r>
      <w:r w:rsidRPr="00CE4EDF">
        <w:rPr>
          <w:lang w:val="en-US"/>
        </w:rPr>
        <w:tab/>
        <w:t>Tax code of the Russian Federation of 31.07.1998 N 146-FZ (as amended) [Electronic resource]: legal reference system "Consultant Plus" / Mode of access:http://www.consultant.ru/.</w:t>
      </w:r>
    </w:p>
    <w:p w:rsidR="00CE4EDF" w:rsidRPr="00CE4EDF" w:rsidRDefault="00CE4EDF" w:rsidP="00CE4EDF">
      <w:pPr>
        <w:shd w:val="clear" w:color="auto" w:fill="FFFFFF"/>
        <w:ind w:firstLine="709"/>
        <w:jc w:val="both"/>
        <w:rPr>
          <w:lang w:val="en-US"/>
        </w:rPr>
      </w:pPr>
      <w:r w:rsidRPr="00CE4EDF">
        <w:rPr>
          <w:lang w:val="en-US"/>
        </w:rPr>
        <w:lastRenderedPageBreak/>
        <w:t>11.</w:t>
      </w:r>
      <w:r w:rsidRPr="00CE4EDF">
        <w:rPr>
          <w:lang w:val="en-US"/>
        </w:rPr>
        <w:tab/>
        <w:t xml:space="preserve">About Methodical recommendations to subjects of the Russian Federation and municipalities on regulation of the interbudget relations: [the order of the Ministry of Finance of the Russian Federation of 27.08.2004 No. 243. [Electronic resource] // SPS "Consultant plus": Legislation: Version of the Prof. – Mode of access: http://www.consultant.ru/document/cons_doc_LAW_174663/. </w:t>
      </w:r>
    </w:p>
    <w:p w:rsidR="00CE4EDF" w:rsidRPr="00CE4EDF" w:rsidRDefault="00CE4EDF" w:rsidP="00CE4EDF">
      <w:pPr>
        <w:shd w:val="clear" w:color="auto" w:fill="FFFFFF"/>
        <w:ind w:firstLine="709"/>
        <w:jc w:val="both"/>
        <w:rPr>
          <w:lang w:val="en-US"/>
        </w:rPr>
      </w:pPr>
      <w:r w:rsidRPr="00CE4EDF">
        <w:rPr>
          <w:lang w:val="en-US"/>
        </w:rPr>
        <w:t>12.</w:t>
      </w:r>
      <w:r w:rsidRPr="00CE4EDF">
        <w:rPr>
          <w:lang w:val="en-US"/>
        </w:rPr>
        <w:tab/>
        <w:t xml:space="preserve">Panskov, V. G. Taxes and taxation in the Russian Federation: textbook for universities. – 7-e Izd., additional and pererab. / V. G. Panskov. – Moscow: mtsfer, 2006. – 592 p. </w:t>
      </w:r>
    </w:p>
    <w:p w:rsidR="00CE4EDF" w:rsidRPr="00CE4EDF" w:rsidRDefault="00CE4EDF" w:rsidP="00CE4EDF">
      <w:pPr>
        <w:shd w:val="clear" w:color="auto" w:fill="FFFFFF"/>
        <w:ind w:firstLine="709"/>
        <w:jc w:val="both"/>
        <w:rPr>
          <w:lang w:val="en-US"/>
        </w:rPr>
      </w:pPr>
      <w:r w:rsidRPr="00CE4EDF">
        <w:rPr>
          <w:lang w:val="en-US"/>
        </w:rPr>
        <w:t>13.</w:t>
      </w:r>
      <w:r w:rsidRPr="00CE4EDF">
        <w:rPr>
          <w:lang w:val="en-US"/>
        </w:rPr>
        <w:tab/>
        <w:t>Proposals on the draft guidelines for the assessment of the tax potential of municipalities // proceedings of the seminar-meeting on the improvement of inter-budgetary relations / ed. Khursevich. – Moscow: Ministry of economy, 2007.</w:t>
      </w:r>
    </w:p>
    <w:p w:rsidR="00CE4EDF" w:rsidRPr="00CE4EDF" w:rsidRDefault="00CE4EDF" w:rsidP="00CE4EDF">
      <w:pPr>
        <w:shd w:val="clear" w:color="auto" w:fill="FFFFFF"/>
        <w:ind w:firstLine="709"/>
        <w:jc w:val="both"/>
        <w:rPr>
          <w:lang w:val="en-US"/>
        </w:rPr>
      </w:pPr>
      <w:r w:rsidRPr="00CE4EDF">
        <w:rPr>
          <w:lang w:val="en-US"/>
        </w:rPr>
        <w:t>14.</w:t>
      </w:r>
      <w:r w:rsidRPr="00CE4EDF">
        <w:rPr>
          <w:lang w:val="en-US"/>
        </w:rPr>
        <w:tab/>
        <w:t>Pugachev A. A., Parfenova L. B. Theoretical approaches to the definition of the essence of the tax potential of the region. Vestnik Tvgu. "Economics and management". – 2013. – №19. – P. 43-59</w:t>
      </w:r>
    </w:p>
    <w:p w:rsidR="00CE4EDF" w:rsidRPr="003171AA" w:rsidRDefault="00CE4EDF" w:rsidP="003171AA">
      <w:pPr>
        <w:shd w:val="clear" w:color="auto" w:fill="FFFFFF"/>
        <w:ind w:firstLine="709"/>
        <w:jc w:val="both"/>
        <w:rPr>
          <w:lang w:val="en-US"/>
        </w:rPr>
      </w:pPr>
      <w:r w:rsidRPr="00CE4EDF">
        <w:rPr>
          <w:lang w:val="en-US"/>
        </w:rPr>
        <w:t>15.</w:t>
      </w:r>
      <w:r w:rsidRPr="00CE4EDF">
        <w:rPr>
          <w:lang w:val="en-US"/>
        </w:rPr>
        <w:tab/>
        <w:t>Russia and the problems of fiscal federalism // world Bank: Program of technical cooperation "Budgetary relations between authorities of different levels in the Russian Federation" / edited by K. Wallich. – Mo</w:t>
      </w:r>
      <w:r w:rsidR="003171AA">
        <w:rPr>
          <w:lang w:val="en-US"/>
        </w:rPr>
        <w:t xml:space="preserve">scow: Izvestia, 1993. – 207 p. </w:t>
      </w:r>
    </w:p>
    <w:p w:rsidR="005E316E" w:rsidRPr="000A0DB9" w:rsidRDefault="00CE4EDF" w:rsidP="00CE4EDF">
      <w:pPr>
        <w:shd w:val="clear" w:color="auto" w:fill="FFFFFF"/>
        <w:ind w:firstLine="709"/>
        <w:jc w:val="both"/>
        <w:rPr>
          <w:i/>
          <w:lang w:val="en-US"/>
        </w:rPr>
      </w:pPr>
      <w:r w:rsidRPr="00CE4EDF">
        <w:rPr>
          <w:lang w:val="en-US"/>
        </w:rPr>
        <w:t>1</w:t>
      </w:r>
      <w:r w:rsidR="003171AA" w:rsidRPr="003171AA">
        <w:rPr>
          <w:lang w:val="en-US"/>
        </w:rPr>
        <w:t>6</w:t>
      </w:r>
      <w:r w:rsidRPr="00CE4EDF">
        <w:rPr>
          <w:lang w:val="en-US"/>
        </w:rPr>
        <w:t>.</w:t>
      </w:r>
      <w:r w:rsidRPr="00CE4EDF">
        <w:rPr>
          <w:lang w:val="en-US"/>
        </w:rPr>
        <w:tab/>
        <w:t>Yutkina T. F. Taxes and taxation: Textbook. for students / T. F. Yutkina. M.: INFRA-M, 2002</w:t>
      </w:r>
    </w:p>
    <w:p w:rsidR="00480314" w:rsidRPr="00480314" w:rsidRDefault="00480314" w:rsidP="00480314">
      <w:pPr>
        <w:ind w:firstLine="567"/>
        <w:jc w:val="center"/>
        <w:rPr>
          <w:b/>
          <w:color w:val="000000" w:themeColor="text1"/>
          <w:lang w:val="en-US"/>
        </w:rPr>
      </w:pPr>
      <w:r>
        <w:rPr>
          <w:b/>
          <w:color w:val="000000" w:themeColor="text1"/>
          <w:lang w:val="en-US"/>
        </w:rPr>
        <w:t>Author</w:t>
      </w:r>
      <w:r w:rsidRPr="005D2D33">
        <w:rPr>
          <w:b/>
          <w:color w:val="000000" w:themeColor="text1"/>
          <w:lang w:val="en-US"/>
        </w:rPr>
        <w:t xml:space="preserve"> Information</w:t>
      </w:r>
    </w:p>
    <w:p w:rsidR="005E316E" w:rsidRPr="00862F32" w:rsidRDefault="005E316E" w:rsidP="005E316E">
      <w:pPr>
        <w:shd w:val="clear" w:color="auto" w:fill="FFFFFF"/>
        <w:ind w:firstLine="709"/>
        <w:jc w:val="both"/>
        <w:rPr>
          <w:lang w:val="en-US"/>
        </w:rPr>
      </w:pPr>
      <w:r w:rsidRPr="005E316E">
        <w:rPr>
          <w:lang w:val="en-US"/>
        </w:rPr>
        <w:t xml:space="preserve">Vasil’eva Tatyana Sergeevna (Russia, Vologda) – research engineer of the Department of socio-economic development and management in the territorial systems of the Vologda scientific center of the Russian Academy of Sciences (160014, Vologda, Gorky str., 56a e-mail: </w:t>
      </w:r>
      <w:hyperlink r:id="rId10" w:history="1">
        <w:r w:rsidR="00862F32" w:rsidRPr="00CE4EDF">
          <w:rPr>
            <w:rStyle w:val="ad"/>
            <w:color w:val="auto"/>
            <w:u w:val="none"/>
            <w:lang w:val="en-US"/>
          </w:rPr>
          <w:t>vasilievats@mail.ru</w:t>
        </w:r>
      </w:hyperlink>
      <w:r w:rsidRPr="00CE4EDF">
        <w:rPr>
          <w:lang w:val="en-US"/>
        </w:rPr>
        <w:t>)</w:t>
      </w:r>
    </w:p>
    <w:p w:rsidR="00862F32" w:rsidRPr="00CE4EDF" w:rsidRDefault="00862F32" w:rsidP="005E316E">
      <w:pPr>
        <w:shd w:val="clear" w:color="auto" w:fill="FFFFFF"/>
        <w:ind w:firstLine="709"/>
        <w:jc w:val="both"/>
        <w:rPr>
          <w:lang w:val="en-US"/>
        </w:rPr>
      </w:pPr>
    </w:p>
    <w:p w:rsidR="00862F32" w:rsidRPr="00CE4EDF" w:rsidRDefault="00862F32" w:rsidP="005E316E">
      <w:pPr>
        <w:shd w:val="clear" w:color="auto" w:fill="FFFFFF"/>
        <w:ind w:firstLine="709"/>
        <w:jc w:val="both"/>
        <w:rPr>
          <w:lang w:val="en-US"/>
        </w:rPr>
      </w:pPr>
    </w:p>
    <w:p w:rsidR="00862F32" w:rsidRPr="00CE4EDF" w:rsidRDefault="00862F32" w:rsidP="005E316E">
      <w:pPr>
        <w:shd w:val="clear" w:color="auto" w:fill="FFFFFF"/>
        <w:ind w:firstLine="709"/>
        <w:jc w:val="both"/>
        <w:rPr>
          <w:lang w:val="en-US"/>
        </w:rPr>
      </w:pPr>
    </w:p>
    <w:p w:rsidR="00862F32" w:rsidRPr="00CE4EDF" w:rsidRDefault="00862F32" w:rsidP="005E316E">
      <w:pPr>
        <w:shd w:val="clear" w:color="auto" w:fill="FFFFFF"/>
        <w:ind w:firstLine="709"/>
        <w:jc w:val="both"/>
        <w:rPr>
          <w:lang w:val="en-US"/>
        </w:rPr>
      </w:pPr>
    </w:p>
    <w:p w:rsidR="00862F32" w:rsidRPr="00CE4EDF" w:rsidRDefault="00862F32" w:rsidP="005E316E">
      <w:pPr>
        <w:shd w:val="clear" w:color="auto" w:fill="FFFFFF"/>
        <w:ind w:firstLine="709"/>
        <w:jc w:val="both"/>
        <w:rPr>
          <w:lang w:val="en-US"/>
        </w:rPr>
      </w:pPr>
    </w:p>
    <w:sectPr w:rsidR="00862F32" w:rsidRPr="00CE4EDF">
      <w:footerReference w:type="default" r:id="rId1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3271" w:rsidRDefault="00873271" w:rsidP="00DF5BF9">
      <w:r>
        <w:separator/>
      </w:r>
    </w:p>
  </w:endnote>
  <w:endnote w:type="continuationSeparator" w:id="0">
    <w:p w:rsidR="00873271" w:rsidRDefault="00873271" w:rsidP="00DF5B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yandex-sans">
    <w:altName w:val="Times New Roman"/>
    <w:panose1 w:val="00000000000000000000"/>
    <w:charset w:val="00"/>
    <w:family w:val="roman"/>
    <w:notTrueType/>
    <w:pitch w:val="default"/>
  </w:font>
  <w:font w:name="Arial">
    <w:panose1 w:val="020B0604020202020204"/>
    <w:charset w:val="CC"/>
    <w:family w:val="swiss"/>
    <w:pitch w:val="variable"/>
    <w:sig w:usb0="20002A87" w:usb1="00000000" w:usb2="00000000"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1997453"/>
      <w:docPartObj>
        <w:docPartGallery w:val="Page Numbers (Bottom of Page)"/>
        <w:docPartUnique/>
      </w:docPartObj>
    </w:sdtPr>
    <w:sdtContent>
      <w:p w:rsidR="00873271" w:rsidRDefault="00873271">
        <w:pPr>
          <w:pStyle w:val="ab"/>
          <w:jc w:val="center"/>
        </w:pPr>
        <w:r>
          <w:fldChar w:fldCharType="begin"/>
        </w:r>
        <w:r>
          <w:instrText>PAGE   \* MERGEFORMAT</w:instrText>
        </w:r>
        <w:r>
          <w:fldChar w:fldCharType="separate"/>
        </w:r>
        <w:r w:rsidR="00BA0436">
          <w:rPr>
            <w:noProof/>
          </w:rPr>
          <w:t>5</w:t>
        </w:r>
        <w:r>
          <w:fldChar w:fldCharType="end"/>
        </w:r>
      </w:p>
    </w:sdtContent>
  </w:sdt>
  <w:p w:rsidR="00873271" w:rsidRDefault="00873271">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3271" w:rsidRDefault="00873271" w:rsidP="00DF5BF9">
      <w:r>
        <w:separator/>
      </w:r>
    </w:p>
  </w:footnote>
  <w:footnote w:type="continuationSeparator" w:id="0">
    <w:p w:rsidR="00873271" w:rsidRDefault="00873271" w:rsidP="00DF5BF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FF5C8C"/>
    <w:multiLevelType w:val="hybridMultilevel"/>
    <w:tmpl w:val="80665BB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nsid w:val="2E053B2C"/>
    <w:multiLevelType w:val="multilevel"/>
    <w:tmpl w:val="8D904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3C12C3E"/>
    <w:multiLevelType w:val="multilevel"/>
    <w:tmpl w:val="0354F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3C53E3B"/>
    <w:multiLevelType w:val="hybridMultilevel"/>
    <w:tmpl w:val="502AC5D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35082423"/>
    <w:multiLevelType w:val="multilevel"/>
    <w:tmpl w:val="F1841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5437B56"/>
    <w:multiLevelType w:val="hybridMultilevel"/>
    <w:tmpl w:val="C04CBC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377968F1"/>
    <w:multiLevelType w:val="multilevel"/>
    <w:tmpl w:val="4230B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8695CB0"/>
    <w:multiLevelType w:val="hybridMultilevel"/>
    <w:tmpl w:val="23721F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3CE30B45"/>
    <w:multiLevelType w:val="hybridMultilevel"/>
    <w:tmpl w:val="468E41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E306BCC"/>
    <w:multiLevelType w:val="hybridMultilevel"/>
    <w:tmpl w:val="A41C356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41AC2916"/>
    <w:multiLevelType w:val="hybridMultilevel"/>
    <w:tmpl w:val="C324E5D2"/>
    <w:lvl w:ilvl="0" w:tplc="8DF44DD8">
      <w:start w:val="1"/>
      <w:numFmt w:val="decimal"/>
      <w:lvlText w:val="%1."/>
      <w:lvlJc w:val="left"/>
      <w:pPr>
        <w:ind w:left="1069" w:hanging="360"/>
      </w:pPr>
      <w:rPr>
        <w:rFonts w:eastAsia="Times New Roman" w:hint="default"/>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46FD0D32"/>
    <w:multiLevelType w:val="hybridMultilevel"/>
    <w:tmpl w:val="EC921C7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49A157CD"/>
    <w:multiLevelType w:val="hybridMultilevel"/>
    <w:tmpl w:val="1B14542C"/>
    <w:lvl w:ilvl="0" w:tplc="04190001">
      <w:start w:val="1"/>
      <w:numFmt w:val="bullet"/>
      <w:lvlText w:val=""/>
      <w:lvlJc w:val="left"/>
      <w:pPr>
        <w:ind w:left="1505" w:hanging="360"/>
      </w:pPr>
      <w:rPr>
        <w:rFonts w:ascii="Symbol" w:hAnsi="Symbol" w:hint="default"/>
      </w:rPr>
    </w:lvl>
    <w:lvl w:ilvl="1" w:tplc="04190003" w:tentative="1">
      <w:start w:val="1"/>
      <w:numFmt w:val="bullet"/>
      <w:lvlText w:val="o"/>
      <w:lvlJc w:val="left"/>
      <w:pPr>
        <w:ind w:left="2225" w:hanging="360"/>
      </w:pPr>
      <w:rPr>
        <w:rFonts w:ascii="Courier New" w:hAnsi="Courier New" w:cs="Courier New" w:hint="default"/>
      </w:rPr>
    </w:lvl>
    <w:lvl w:ilvl="2" w:tplc="04190005" w:tentative="1">
      <w:start w:val="1"/>
      <w:numFmt w:val="bullet"/>
      <w:lvlText w:val=""/>
      <w:lvlJc w:val="left"/>
      <w:pPr>
        <w:ind w:left="2945" w:hanging="360"/>
      </w:pPr>
      <w:rPr>
        <w:rFonts w:ascii="Wingdings" w:hAnsi="Wingdings" w:hint="default"/>
      </w:rPr>
    </w:lvl>
    <w:lvl w:ilvl="3" w:tplc="04190001" w:tentative="1">
      <w:start w:val="1"/>
      <w:numFmt w:val="bullet"/>
      <w:lvlText w:val=""/>
      <w:lvlJc w:val="left"/>
      <w:pPr>
        <w:ind w:left="3665" w:hanging="360"/>
      </w:pPr>
      <w:rPr>
        <w:rFonts w:ascii="Symbol" w:hAnsi="Symbol" w:hint="default"/>
      </w:rPr>
    </w:lvl>
    <w:lvl w:ilvl="4" w:tplc="04190003" w:tentative="1">
      <w:start w:val="1"/>
      <w:numFmt w:val="bullet"/>
      <w:lvlText w:val="o"/>
      <w:lvlJc w:val="left"/>
      <w:pPr>
        <w:ind w:left="4385" w:hanging="360"/>
      </w:pPr>
      <w:rPr>
        <w:rFonts w:ascii="Courier New" w:hAnsi="Courier New" w:cs="Courier New" w:hint="default"/>
      </w:rPr>
    </w:lvl>
    <w:lvl w:ilvl="5" w:tplc="04190005" w:tentative="1">
      <w:start w:val="1"/>
      <w:numFmt w:val="bullet"/>
      <w:lvlText w:val=""/>
      <w:lvlJc w:val="left"/>
      <w:pPr>
        <w:ind w:left="5105" w:hanging="360"/>
      </w:pPr>
      <w:rPr>
        <w:rFonts w:ascii="Wingdings" w:hAnsi="Wingdings" w:hint="default"/>
      </w:rPr>
    </w:lvl>
    <w:lvl w:ilvl="6" w:tplc="04190001" w:tentative="1">
      <w:start w:val="1"/>
      <w:numFmt w:val="bullet"/>
      <w:lvlText w:val=""/>
      <w:lvlJc w:val="left"/>
      <w:pPr>
        <w:ind w:left="5825" w:hanging="360"/>
      </w:pPr>
      <w:rPr>
        <w:rFonts w:ascii="Symbol" w:hAnsi="Symbol" w:hint="default"/>
      </w:rPr>
    </w:lvl>
    <w:lvl w:ilvl="7" w:tplc="04190003" w:tentative="1">
      <w:start w:val="1"/>
      <w:numFmt w:val="bullet"/>
      <w:lvlText w:val="o"/>
      <w:lvlJc w:val="left"/>
      <w:pPr>
        <w:ind w:left="6545" w:hanging="360"/>
      </w:pPr>
      <w:rPr>
        <w:rFonts w:ascii="Courier New" w:hAnsi="Courier New" w:cs="Courier New" w:hint="default"/>
      </w:rPr>
    </w:lvl>
    <w:lvl w:ilvl="8" w:tplc="04190005" w:tentative="1">
      <w:start w:val="1"/>
      <w:numFmt w:val="bullet"/>
      <w:lvlText w:val=""/>
      <w:lvlJc w:val="left"/>
      <w:pPr>
        <w:ind w:left="7265" w:hanging="360"/>
      </w:pPr>
      <w:rPr>
        <w:rFonts w:ascii="Wingdings" w:hAnsi="Wingdings" w:hint="default"/>
      </w:rPr>
    </w:lvl>
  </w:abstractNum>
  <w:abstractNum w:abstractNumId="13">
    <w:nsid w:val="4CAD5603"/>
    <w:multiLevelType w:val="multilevel"/>
    <w:tmpl w:val="DC5C3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2152C52"/>
    <w:multiLevelType w:val="hybridMultilevel"/>
    <w:tmpl w:val="D89E9FD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52C46B0E"/>
    <w:multiLevelType w:val="hybridMultilevel"/>
    <w:tmpl w:val="72FA80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4FE6640"/>
    <w:multiLevelType w:val="hybridMultilevel"/>
    <w:tmpl w:val="57524C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561D6AF1"/>
    <w:multiLevelType w:val="hybridMultilevel"/>
    <w:tmpl w:val="D5FA791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8">
    <w:nsid w:val="566651BD"/>
    <w:multiLevelType w:val="hybridMultilevel"/>
    <w:tmpl w:val="2A4E67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627A1FAB"/>
    <w:multiLevelType w:val="hybridMultilevel"/>
    <w:tmpl w:val="2DB61960"/>
    <w:lvl w:ilvl="0" w:tplc="04190001">
      <w:start w:val="1"/>
      <w:numFmt w:val="bullet"/>
      <w:lvlText w:val=""/>
      <w:lvlJc w:val="left"/>
      <w:pPr>
        <w:ind w:left="784" w:hanging="360"/>
      </w:pPr>
      <w:rPr>
        <w:rFonts w:ascii="Symbol" w:hAnsi="Symbol" w:hint="default"/>
      </w:rPr>
    </w:lvl>
    <w:lvl w:ilvl="1" w:tplc="04190003" w:tentative="1">
      <w:start w:val="1"/>
      <w:numFmt w:val="bullet"/>
      <w:lvlText w:val="o"/>
      <w:lvlJc w:val="left"/>
      <w:pPr>
        <w:ind w:left="1504" w:hanging="360"/>
      </w:pPr>
      <w:rPr>
        <w:rFonts w:ascii="Courier New" w:hAnsi="Courier New" w:cs="Courier New" w:hint="default"/>
      </w:rPr>
    </w:lvl>
    <w:lvl w:ilvl="2" w:tplc="04190005" w:tentative="1">
      <w:start w:val="1"/>
      <w:numFmt w:val="bullet"/>
      <w:lvlText w:val=""/>
      <w:lvlJc w:val="left"/>
      <w:pPr>
        <w:ind w:left="2224" w:hanging="360"/>
      </w:pPr>
      <w:rPr>
        <w:rFonts w:ascii="Wingdings" w:hAnsi="Wingdings" w:hint="default"/>
      </w:rPr>
    </w:lvl>
    <w:lvl w:ilvl="3" w:tplc="04190001" w:tentative="1">
      <w:start w:val="1"/>
      <w:numFmt w:val="bullet"/>
      <w:lvlText w:val=""/>
      <w:lvlJc w:val="left"/>
      <w:pPr>
        <w:ind w:left="2944" w:hanging="360"/>
      </w:pPr>
      <w:rPr>
        <w:rFonts w:ascii="Symbol" w:hAnsi="Symbol" w:hint="default"/>
      </w:rPr>
    </w:lvl>
    <w:lvl w:ilvl="4" w:tplc="04190003" w:tentative="1">
      <w:start w:val="1"/>
      <w:numFmt w:val="bullet"/>
      <w:lvlText w:val="o"/>
      <w:lvlJc w:val="left"/>
      <w:pPr>
        <w:ind w:left="3664" w:hanging="360"/>
      </w:pPr>
      <w:rPr>
        <w:rFonts w:ascii="Courier New" w:hAnsi="Courier New" w:cs="Courier New" w:hint="default"/>
      </w:rPr>
    </w:lvl>
    <w:lvl w:ilvl="5" w:tplc="04190005" w:tentative="1">
      <w:start w:val="1"/>
      <w:numFmt w:val="bullet"/>
      <w:lvlText w:val=""/>
      <w:lvlJc w:val="left"/>
      <w:pPr>
        <w:ind w:left="4384" w:hanging="360"/>
      </w:pPr>
      <w:rPr>
        <w:rFonts w:ascii="Wingdings" w:hAnsi="Wingdings" w:hint="default"/>
      </w:rPr>
    </w:lvl>
    <w:lvl w:ilvl="6" w:tplc="04190001" w:tentative="1">
      <w:start w:val="1"/>
      <w:numFmt w:val="bullet"/>
      <w:lvlText w:val=""/>
      <w:lvlJc w:val="left"/>
      <w:pPr>
        <w:ind w:left="5104" w:hanging="360"/>
      </w:pPr>
      <w:rPr>
        <w:rFonts w:ascii="Symbol" w:hAnsi="Symbol" w:hint="default"/>
      </w:rPr>
    </w:lvl>
    <w:lvl w:ilvl="7" w:tplc="04190003" w:tentative="1">
      <w:start w:val="1"/>
      <w:numFmt w:val="bullet"/>
      <w:lvlText w:val="o"/>
      <w:lvlJc w:val="left"/>
      <w:pPr>
        <w:ind w:left="5824" w:hanging="360"/>
      </w:pPr>
      <w:rPr>
        <w:rFonts w:ascii="Courier New" w:hAnsi="Courier New" w:cs="Courier New" w:hint="default"/>
      </w:rPr>
    </w:lvl>
    <w:lvl w:ilvl="8" w:tplc="04190005" w:tentative="1">
      <w:start w:val="1"/>
      <w:numFmt w:val="bullet"/>
      <w:lvlText w:val=""/>
      <w:lvlJc w:val="left"/>
      <w:pPr>
        <w:ind w:left="6544" w:hanging="360"/>
      </w:pPr>
      <w:rPr>
        <w:rFonts w:ascii="Wingdings" w:hAnsi="Wingdings" w:hint="default"/>
      </w:rPr>
    </w:lvl>
  </w:abstractNum>
  <w:abstractNum w:abstractNumId="20">
    <w:nsid w:val="6A4F2248"/>
    <w:multiLevelType w:val="hybridMultilevel"/>
    <w:tmpl w:val="A6D6E44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6E241AE5"/>
    <w:multiLevelType w:val="hybridMultilevel"/>
    <w:tmpl w:val="18ACCF2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6F611F63"/>
    <w:multiLevelType w:val="hybridMultilevel"/>
    <w:tmpl w:val="468E41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71174CBF"/>
    <w:multiLevelType w:val="hybridMultilevel"/>
    <w:tmpl w:val="FC8413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740000BF"/>
    <w:multiLevelType w:val="multilevel"/>
    <w:tmpl w:val="86D62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DE641AB"/>
    <w:multiLevelType w:val="multilevel"/>
    <w:tmpl w:val="0060A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F4261FE"/>
    <w:multiLevelType w:val="hybridMultilevel"/>
    <w:tmpl w:val="3EA83CB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13"/>
  </w:num>
  <w:num w:numId="3">
    <w:abstractNumId w:val="24"/>
  </w:num>
  <w:num w:numId="4">
    <w:abstractNumId w:val="14"/>
  </w:num>
  <w:num w:numId="5">
    <w:abstractNumId w:val="10"/>
  </w:num>
  <w:num w:numId="6">
    <w:abstractNumId w:val="4"/>
  </w:num>
  <w:num w:numId="7">
    <w:abstractNumId w:val="25"/>
  </w:num>
  <w:num w:numId="8">
    <w:abstractNumId w:val="23"/>
  </w:num>
  <w:num w:numId="9">
    <w:abstractNumId w:val="2"/>
  </w:num>
  <w:num w:numId="10">
    <w:abstractNumId w:val="6"/>
  </w:num>
  <w:num w:numId="11">
    <w:abstractNumId w:val="21"/>
  </w:num>
  <w:num w:numId="12">
    <w:abstractNumId w:val="26"/>
  </w:num>
  <w:num w:numId="13">
    <w:abstractNumId w:val="15"/>
  </w:num>
  <w:num w:numId="14">
    <w:abstractNumId w:val="20"/>
  </w:num>
  <w:num w:numId="15">
    <w:abstractNumId w:val="18"/>
  </w:num>
  <w:num w:numId="16">
    <w:abstractNumId w:val="0"/>
  </w:num>
  <w:num w:numId="17">
    <w:abstractNumId w:val="16"/>
  </w:num>
  <w:num w:numId="18">
    <w:abstractNumId w:val="7"/>
  </w:num>
  <w:num w:numId="19">
    <w:abstractNumId w:val="19"/>
  </w:num>
  <w:num w:numId="20">
    <w:abstractNumId w:val="9"/>
  </w:num>
  <w:num w:numId="21">
    <w:abstractNumId w:val="5"/>
  </w:num>
  <w:num w:numId="22">
    <w:abstractNumId w:val="12"/>
  </w:num>
  <w:num w:numId="23">
    <w:abstractNumId w:val="8"/>
  </w:num>
  <w:num w:numId="24">
    <w:abstractNumId w:val="17"/>
  </w:num>
  <w:num w:numId="25">
    <w:abstractNumId w:val="22"/>
  </w:num>
  <w:num w:numId="26">
    <w:abstractNumId w:val="11"/>
  </w:num>
  <w:num w:numId="2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3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6396"/>
    <w:rsid w:val="00005E3E"/>
    <w:rsid w:val="00006241"/>
    <w:rsid w:val="00006D9E"/>
    <w:rsid w:val="00011A10"/>
    <w:rsid w:val="0001408C"/>
    <w:rsid w:val="00014E4B"/>
    <w:rsid w:val="000223A6"/>
    <w:rsid w:val="000331F5"/>
    <w:rsid w:val="000346E6"/>
    <w:rsid w:val="00042B84"/>
    <w:rsid w:val="00044C18"/>
    <w:rsid w:val="00045C8F"/>
    <w:rsid w:val="00047AB8"/>
    <w:rsid w:val="00050EA0"/>
    <w:rsid w:val="0006222F"/>
    <w:rsid w:val="000658A6"/>
    <w:rsid w:val="00075567"/>
    <w:rsid w:val="000920F4"/>
    <w:rsid w:val="000924B0"/>
    <w:rsid w:val="000A0DB9"/>
    <w:rsid w:val="000B0558"/>
    <w:rsid w:val="000C282C"/>
    <w:rsid w:val="000D22EB"/>
    <w:rsid w:val="000D2505"/>
    <w:rsid w:val="000D76D8"/>
    <w:rsid w:val="000E16F5"/>
    <w:rsid w:val="000E36B8"/>
    <w:rsid w:val="000F214F"/>
    <w:rsid w:val="000F610A"/>
    <w:rsid w:val="001017CB"/>
    <w:rsid w:val="00110CB5"/>
    <w:rsid w:val="00113FAB"/>
    <w:rsid w:val="0011499F"/>
    <w:rsid w:val="00122B2A"/>
    <w:rsid w:val="00124878"/>
    <w:rsid w:val="0014495C"/>
    <w:rsid w:val="00146155"/>
    <w:rsid w:val="00147C83"/>
    <w:rsid w:val="001504C7"/>
    <w:rsid w:val="00154919"/>
    <w:rsid w:val="00154B10"/>
    <w:rsid w:val="00156384"/>
    <w:rsid w:val="001578CA"/>
    <w:rsid w:val="0016002A"/>
    <w:rsid w:val="00162FBE"/>
    <w:rsid w:val="00164CEA"/>
    <w:rsid w:val="00167373"/>
    <w:rsid w:val="00167C24"/>
    <w:rsid w:val="00170DC9"/>
    <w:rsid w:val="00187791"/>
    <w:rsid w:val="00190782"/>
    <w:rsid w:val="001A1380"/>
    <w:rsid w:val="001A5743"/>
    <w:rsid w:val="001C03C1"/>
    <w:rsid w:val="001C5DE5"/>
    <w:rsid w:val="001C7BE0"/>
    <w:rsid w:val="001D0EEA"/>
    <w:rsid w:val="001D34A2"/>
    <w:rsid w:val="001D36A2"/>
    <w:rsid w:val="001D4018"/>
    <w:rsid w:val="001D530F"/>
    <w:rsid w:val="001D6530"/>
    <w:rsid w:val="001D6DEF"/>
    <w:rsid w:val="001E1C6B"/>
    <w:rsid w:val="001E4156"/>
    <w:rsid w:val="001E592B"/>
    <w:rsid w:val="001E647B"/>
    <w:rsid w:val="001F399F"/>
    <w:rsid w:val="001F432A"/>
    <w:rsid w:val="001F43F9"/>
    <w:rsid w:val="00201D97"/>
    <w:rsid w:val="0020440A"/>
    <w:rsid w:val="002167C7"/>
    <w:rsid w:val="0022484F"/>
    <w:rsid w:val="0022505F"/>
    <w:rsid w:val="00265AE7"/>
    <w:rsid w:val="00271B50"/>
    <w:rsid w:val="00276B8A"/>
    <w:rsid w:val="002812D0"/>
    <w:rsid w:val="00281528"/>
    <w:rsid w:val="00285DAA"/>
    <w:rsid w:val="00297509"/>
    <w:rsid w:val="002A2354"/>
    <w:rsid w:val="002A656D"/>
    <w:rsid w:val="002B1C4A"/>
    <w:rsid w:val="002C4D56"/>
    <w:rsid w:val="002C7AEF"/>
    <w:rsid w:val="002D3501"/>
    <w:rsid w:val="002E18C2"/>
    <w:rsid w:val="002F6E3C"/>
    <w:rsid w:val="002F7247"/>
    <w:rsid w:val="003031B0"/>
    <w:rsid w:val="00307B6E"/>
    <w:rsid w:val="00314D73"/>
    <w:rsid w:val="0031563D"/>
    <w:rsid w:val="0031668A"/>
    <w:rsid w:val="003171AA"/>
    <w:rsid w:val="00321445"/>
    <w:rsid w:val="0032438B"/>
    <w:rsid w:val="00325CE5"/>
    <w:rsid w:val="00326396"/>
    <w:rsid w:val="003346A3"/>
    <w:rsid w:val="00344767"/>
    <w:rsid w:val="00347EC2"/>
    <w:rsid w:val="00357CAF"/>
    <w:rsid w:val="003600D2"/>
    <w:rsid w:val="00367835"/>
    <w:rsid w:val="00371E76"/>
    <w:rsid w:val="0037604A"/>
    <w:rsid w:val="003761AC"/>
    <w:rsid w:val="003829D7"/>
    <w:rsid w:val="00396C6D"/>
    <w:rsid w:val="00397D3D"/>
    <w:rsid w:val="003A0C93"/>
    <w:rsid w:val="003A4857"/>
    <w:rsid w:val="003A657E"/>
    <w:rsid w:val="003B1B8C"/>
    <w:rsid w:val="003B5357"/>
    <w:rsid w:val="003C367B"/>
    <w:rsid w:val="003C5194"/>
    <w:rsid w:val="003D015B"/>
    <w:rsid w:val="003D15B6"/>
    <w:rsid w:val="003D23FB"/>
    <w:rsid w:val="003D49B0"/>
    <w:rsid w:val="003E2A99"/>
    <w:rsid w:val="003E2F1C"/>
    <w:rsid w:val="003F6687"/>
    <w:rsid w:val="004035D2"/>
    <w:rsid w:val="004041DD"/>
    <w:rsid w:val="00414CBE"/>
    <w:rsid w:val="00427DE7"/>
    <w:rsid w:val="00433E40"/>
    <w:rsid w:val="00437C63"/>
    <w:rsid w:val="00440CFA"/>
    <w:rsid w:val="00442F81"/>
    <w:rsid w:val="0044565A"/>
    <w:rsid w:val="004459A4"/>
    <w:rsid w:val="00446888"/>
    <w:rsid w:val="004516C5"/>
    <w:rsid w:val="0045309F"/>
    <w:rsid w:val="00454326"/>
    <w:rsid w:val="00455E4B"/>
    <w:rsid w:val="0045794E"/>
    <w:rsid w:val="00467A3C"/>
    <w:rsid w:val="004727D9"/>
    <w:rsid w:val="00477829"/>
    <w:rsid w:val="00480314"/>
    <w:rsid w:val="0048031D"/>
    <w:rsid w:val="00482D6D"/>
    <w:rsid w:val="004836E4"/>
    <w:rsid w:val="004972B4"/>
    <w:rsid w:val="004A13D6"/>
    <w:rsid w:val="004A61E2"/>
    <w:rsid w:val="004B6485"/>
    <w:rsid w:val="004C1C91"/>
    <w:rsid w:val="004C5EFF"/>
    <w:rsid w:val="004D15CD"/>
    <w:rsid w:val="004D5518"/>
    <w:rsid w:val="004D6654"/>
    <w:rsid w:val="004E143D"/>
    <w:rsid w:val="004E1D65"/>
    <w:rsid w:val="004E24EF"/>
    <w:rsid w:val="004E7C27"/>
    <w:rsid w:val="004F1B23"/>
    <w:rsid w:val="004F4E96"/>
    <w:rsid w:val="004F5E66"/>
    <w:rsid w:val="004F6EDA"/>
    <w:rsid w:val="004F7603"/>
    <w:rsid w:val="005004F3"/>
    <w:rsid w:val="0050194E"/>
    <w:rsid w:val="005036D1"/>
    <w:rsid w:val="00515C33"/>
    <w:rsid w:val="0052062F"/>
    <w:rsid w:val="0052376D"/>
    <w:rsid w:val="00524950"/>
    <w:rsid w:val="00525CED"/>
    <w:rsid w:val="00526442"/>
    <w:rsid w:val="0053013F"/>
    <w:rsid w:val="00532E13"/>
    <w:rsid w:val="00534690"/>
    <w:rsid w:val="0053675D"/>
    <w:rsid w:val="00537D28"/>
    <w:rsid w:val="0054076E"/>
    <w:rsid w:val="00552887"/>
    <w:rsid w:val="0055777D"/>
    <w:rsid w:val="00563224"/>
    <w:rsid w:val="00566D61"/>
    <w:rsid w:val="0057346B"/>
    <w:rsid w:val="005767D0"/>
    <w:rsid w:val="005834B8"/>
    <w:rsid w:val="00583921"/>
    <w:rsid w:val="005842FE"/>
    <w:rsid w:val="005949E4"/>
    <w:rsid w:val="00594E67"/>
    <w:rsid w:val="005968B1"/>
    <w:rsid w:val="00596EDC"/>
    <w:rsid w:val="005B4842"/>
    <w:rsid w:val="005C0A4E"/>
    <w:rsid w:val="005C22A0"/>
    <w:rsid w:val="005D51D3"/>
    <w:rsid w:val="005E316E"/>
    <w:rsid w:val="005E4BEA"/>
    <w:rsid w:val="005E562F"/>
    <w:rsid w:val="005F15BD"/>
    <w:rsid w:val="005F16F5"/>
    <w:rsid w:val="005F7F3A"/>
    <w:rsid w:val="006018AB"/>
    <w:rsid w:val="0060340A"/>
    <w:rsid w:val="00611B77"/>
    <w:rsid w:val="00623E96"/>
    <w:rsid w:val="00631673"/>
    <w:rsid w:val="00631834"/>
    <w:rsid w:val="006361B8"/>
    <w:rsid w:val="0064084F"/>
    <w:rsid w:val="00643D75"/>
    <w:rsid w:val="0066098C"/>
    <w:rsid w:val="00665193"/>
    <w:rsid w:val="00665F6B"/>
    <w:rsid w:val="00666BD7"/>
    <w:rsid w:val="00670F3D"/>
    <w:rsid w:val="006732B2"/>
    <w:rsid w:val="0068273B"/>
    <w:rsid w:val="00682D8A"/>
    <w:rsid w:val="00690146"/>
    <w:rsid w:val="00690CE1"/>
    <w:rsid w:val="00690D3E"/>
    <w:rsid w:val="00695E5A"/>
    <w:rsid w:val="00696D51"/>
    <w:rsid w:val="0069708A"/>
    <w:rsid w:val="006A67B3"/>
    <w:rsid w:val="006B4FAD"/>
    <w:rsid w:val="006B55AF"/>
    <w:rsid w:val="006B7FA1"/>
    <w:rsid w:val="006C010E"/>
    <w:rsid w:val="006C14A9"/>
    <w:rsid w:val="006C4A85"/>
    <w:rsid w:val="006C4B6A"/>
    <w:rsid w:val="006C7D31"/>
    <w:rsid w:val="006D4A80"/>
    <w:rsid w:val="006D4E43"/>
    <w:rsid w:val="006D6160"/>
    <w:rsid w:val="006D67AC"/>
    <w:rsid w:val="006E075A"/>
    <w:rsid w:val="006E4762"/>
    <w:rsid w:val="006E7F36"/>
    <w:rsid w:val="006F794D"/>
    <w:rsid w:val="00704265"/>
    <w:rsid w:val="0070647A"/>
    <w:rsid w:val="007066E7"/>
    <w:rsid w:val="00707684"/>
    <w:rsid w:val="00711A89"/>
    <w:rsid w:val="00714CCF"/>
    <w:rsid w:val="00715D56"/>
    <w:rsid w:val="00722599"/>
    <w:rsid w:val="00726B09"/>
    <w:rsid w:val="0073094F"/>
    <w:rsid w:val="00730E4A"/>
    <w:rsid w:val="00732633"/>
    <w:rsid w:val="00741C0D"/>
    <w:rsid w:val="00745470"/>
    <w:rsid w:val="00747585"/>
    <w:rsid w:val="00756EAA"/>
    <w:rsid w:val="00777DA6"/>
    <w:rsid w:val="00785F8D"/>
    <w:rsid w:val="00791C04"/>
    <w:rsid w:val="007A4BC5"/>
    <w:rsid w:val="007B093A"/>
    <w:rsid w:val="007B59FB"/>
    <w:rsid w:val="007B6103"/>
    <w:rsid w:val="007B6AC8"/>
    <w:rsid w:val="007B6D0A"/>
    <w:rsid w:val="007C0BAB"/>
    <w:rsid w:val="007C4EF9"/>
    <w:rsid w:val="007C73B7"/>
    <w:rsid w:val="007C77BC"/>
    <w:rsid w:val="007D5476"/>
    <w:rsid w:val="007D6071"/>
    <w:rsid w:val="007E1564"/>
    <w:rsid w:val="007E15A6"/>
    <w:rsid w:val="007E1636"/>
    <w:rsid w:val="007E2C0C"/>
    <w:rsid w:val="007F3A63"/>
    <w:rsid w:val="007F4AEF"/>
    <w:rsid w:val="007F6091"/>
    <w:rsid w:val="007F7F2F"/>
    <w:rsid w:val="008022CA"/>
    <w:rsid w:val="008039C7"/>
    <w:rsid w:val="008070A5"/>
    <w:rsid w:val="00810DEF"/>
    <w:rsid w:val="0081276F"/>
    <w:rsid w:val="00834231"/>
    <w:rsid w:val="0084312C"/>
    <w:rsid w:val="0084352C"/>
    <w:rsid w:val="00852136"/>
    <w:rsid w:val="00862F32"/>
    <w:rsid w:val="00864BCD"/>
    <w:rsid w:val="00873271"/>
    <w:rsid w:val="00883282"/>
    <w:rsid w:val="008914D2"/>
    <w:rsid w:val="00895858"/>
    <w:rsid w:val="008B1D66"/>
    <w:rsid w:val="008B27C1"/>
    <w:rsid w:val="008D69E1"/>
    <w:rsid w:val="008D77E0"/>
    <w:rsid w:val="008E2FE8"/>
    <w:rsid w:val="008E45C2"/>
    <w:rsid w:val="008E5378"/>
    <w:rsid w:val="008E6937"/>
    <w:rsid w:val="008E77F0"/>
    <w:rsid w:val="008F1730"/>
    <w:rsid w:val="00906029"/>
    <w:rsid w:val="00911BAB"/>
    <w:rsid w:val="00911F67"/>
    <w:rsid w:val="00914794"/>
    <w:rsid w:val="00915EA9"/>
    <w:rsid w:val="00922A7F"/>
    <w:rsid w:val="00923D18"/>
    <w:rsid w:val="00924DC3"/>
    <w:rsid w:val="00925E9B"/>
    <w:rsid w:val="00933B8C"/>
    <w:rsid w:val="00935187"/>
    <w:rsid w:val="00935D5F"/>
    <w:rsid w:val="00935F5F"/>
    <w:rsid w:val="0093666E"/>
    <w:rsid w:val="0093742B"/>
    <w:rsid w:val="009409AC"/>
    <w:rsid w:val="00941A8A"/>
    <w:rsid w:val="00953956"/>
    <w:rsid w:val="00956594"/>
    <w:rsid w:val="00957045"/>
    <w:rsid w:val="00957D91"/>
    <w:rsid w:val="00974773"/>
    <w:rsid w:val="009749F6"/>
    <w:rsid w:val="00987AB5"/>
    <w:rsid w:val="00991AE8"/>
    <w:rsid w:val="00991ED5"/>
    <w:rsid w:val="009A592D"/>
    <w:rsid w:val="009A5BC5"/>
    <w:rsid w:val="009B726D"/>
    <w:rsid w:val="009B7B8B"/>
    <w:rsid w:val="009C511C"/>
    <w:rsid w:val="009D1BA0"/>
    <w:rsid w:val="009D21F6"/>
    <w:rsid w:val="009D38F8"/>
    <w:rsid w:val="009D53C4"/>
    <w:rsid w:val="009D6406"/>
    <w:rsid w:val="009D6B97"/>
    <w:rsid w:val="009F1B9A"/>
    <w:rsid w:val="009F1D96"/>
    <w:rsid w:val="009F4D14"/>
    <w:rsid w:val="009F6BED"/>
    <w:rsid w:val="00A00237"/>
    <w:rsid w:val="00A0423E"/>
    <w:rsid w:val="00A0730B"/>
    <w:rsid w:val="00A13E08"/>
    <w:rsid w:val="00A21452"/>
    <w:rsid w:val="00A26489"/>
    <w:rsid w:val="00A2719E"/>
    <w:rsid w:val="00A33292"/>
    <w:rsid w:val="00A35E65"/>
    <w:rsid w:val="00A36B62"/>
    <w:rsid w:val="00A50A73"/>
    <w:rsid w:val="00A56E0C"/>
    <w:rsid w:val="00A6035A"/>
    <w:rsid w:val="00A649EE"/>
    <w:rsid w:val="00A836A8"/>
    <w:rsid w:val="00A965BF"/>
    <w:rsid w:val="00A97262"/>
    <w:rsid w:val="00A977D0"/>
    <w:rsid w:val="00AA44D8"/>
    <w:rsid w:val="00AA503D"/>
    <w:rsid w:val="00AB2399"/>
    <w:rsid w:val="00AB54CD"/>
    <w:rsid w:val="00AB65A3"/>
    <w:rsid w:val="00AC0D9C"/>
    <w:rsid w:val="00AC33C3"/>
    <w:rsid w:val="00AC546F"/>
    <w:rsid w:val="00AC73AA"/>
    <w:rsid w:val="00AD13CD"/>
    <w:rsid w:val="00AD3796"/>
    <w:rsid w:val="00AD6AF7"/>
    <w:rsid w:val="00AE22D2"/>
    <w:rsid w:val="00AE2EF5"/>
    <w:rsid w:val="00AE6551"/>
    <w:rsid w:val="00AF04E1"/>
    <w:rsid w:val="00AF6359"/>
    <w:rsid w:val="00AF7318"/>
    <w:rsid w:val="00B108D1"/>
    <w:rsid w:val="00B12B94"/>
    <w:rsid w:val="00B15247"/>
    <w:rsid w:val="00B17517"/>
    <w:rsid w:val="00B3027A"/>
    <w:rsid w:val="00B334E1"/>
    <w:rsid w:val="00B4012F"/>
    <w:rsid w:val="00B62399"/>
    <w:rsid w:val="00B62AAC"/>
    <w:rsid w:val="00B635E5"/>
    <w:rsid w:val="00B72187"/>
    <w:rsid w:val="00B81812"/>
    <w:rsid w:val="00B857FA"/>
    <w:rsid w:val="00BA0436"/>
    <w:rsid w:val="00BA44D2"/>
    <w:rsid w:val="00BA5F54"/>
    <w:rsid w:val="00BC2FE2"/>
    <w:rsid w:val="00BC3820"/>
    <w:rsid w:val="00BC5501"/>
    <w:rsid w:val="00BC61D4"/>
    <w:rsid w:val="00BC7271"/>
    <w:rsid w:val="00BE1A14"/>
    <w:rsid w:val="00BF3391"/>
    <w:rsid w:val="00BF5077"/>
    <w:rsid w:val="00BF55E9"/>
    <w:rsid w:val="00C038E8"/>
    <w:rsid w:val="00C07BD2"/>
    <w:rsid w:val="00C128B6"/>
    <w:rsid w:val="00C21C88"/>
    <w:rsid w:val="00C24626"/>
    <w:rsid w:val="00C41F77"/>
    <w:rsid w:val="00C45C6A"/>
    <w:rsid w:val="00C4694B"/>
    <w:rsid w:val="00C50C2D"/>
    <w:rsid w:val="00C520F7"/>
    <w:rsid w:val="00C5402B"/>
    <w:rsid w:val="00C61FF1"/>
    <w:rsid w:val="00C621E6"/>
    <w:rsid w:val="00C64CA2"/>
    <w:rsid w:val="00C67D42"/>
    <w:rsid w:val="00C67E72"/>
    <w:rsid w:val="00C7257D"/>
    <w:rsid w:val="00C82EFB"/>
    <w:rsid w:val="00C87030"/>
    <w:rsid w:val="00C93A3E"/>
    <w:rsid w:val="00C965E7"/>
    <w:rsid w:val="00CA2B96"/>
    <w:rsid w:val="00CA458E"/>
    <w:rsid w:val="00CA4616"/>
    <w:rsid w:val="00CB066D"/>
    <w:rsid w:val="00CB5542"/>
    <w:rsid w:val="00CB77D1"/>
    <w:rsid w:val="00CD2CEA"/>
    <w:rsid w:val="00CD3482"/>
    <w:rsid w:val="00CD5704"/>
    <w:rsid w:val="00CD62EC"/>
    <w:rsid w:val="00CE0826"/>
    <w:rsid w:val="00CE3365"/>
    <w:rsid w:val="00CE4EDF"/>
    <w:rsid w:val="00CE4FBB"/>
    <w:rsid w:val="00CE6F68"/>
    <w:rsid w:val="00CF1DBD"/>
    <w:rsid w:val="00CF24BE"/>
    <w:rsid w:val="00CF388E"/>
    <w:rsid w:val="00D076CE"/>
    <w:rsid w:val="00D1337F"/>
    <w:rsid w:val="00D21CE3"/>
    <w:rsid w:val="00D23C84"/>
    <w:rsid w:val="00D24646"/>
    <w:rsid w:val="00D248E6"/>
    <w:rsid w:val="00D252FB"/>
    <w:rsid w:val="00D25AD1"/>
    <w:rsid w:val="00D306CC"/>
    <w:rsid w:val="00D30F63"/>
    <w:rsid w:val="00D31455"/>
    <w:rsid w:val="00D339B6"/>
    <w:rsid w:val="00D40D76"/>
    <w:rsid w:val="00D43313"/>
    <w:rsid w:val="00D539F8"/>
    <w:rsid w:val="00D618F8"/>
    <w:rsid w:val="00D71A99"/>
    <w:rsid w:val="00D768E5"/>
    <w:rsid w:val="00D76FC6"/>
    <w:rsid w:val="00D805AF"/>
    <w:rsid w:val="00D95636"/>
    <w:rsid w:val="00D96D61"/>
    <w:rsid w:val="00DB1A86"/>
    <w:rsid w:val="00DB1FF8"/>
    <w:rsid w:val="00DB500E"/>
    <w:rsid w:val="00DB69E2"/>
    <w:rsid w:val="00DC06BA"/>
    <w:rsid w:val="00DC1363"/>
    <w:rsid w:val="00DC347D"/>
    <w:rsid w:val="00DD0FF1"/>
    <w:rsid w:val="00DE3DB2"/>
    <w:rsid w:val="00DE4A60"/>
    <w:rsid w:val="00DF5BF9"/>
    <w:rsid w:val="00E011C3"/>
    <w:rsid w:val="00E06D29"/>
    <w:rsid w:val="00E11DFF"/>
    <w:rsid w:val="00E13BFA"/>
    <w:rsid w:val="00E253B8"/>
    <w:rsid w:val="00E30289"/>
    <w:rsid w:val="00E3792A"/>
    <w:rsid w:val="00E37C0B"/>
    <w:rsid w:val="00E43B17"/>
    <w:rsid w:val="00E45F6C"/>
    <w:rsid w:val="00E54387"/>
    <w:rsid w:val="00E5635F"/>
    <w:rsid w:val="00E64090"/>
    <w:rsid w:val="00E65C6B"/>
    <w:rsid w:val="00E66652"/>
    <w:rsid w:val="00E71213"/>
    <w:rsid w:val="00E71899"/>
    <w:rsid w:val="00E86471"/>
    <w:rsid w:val="00E900D3"/>
    <w:rsid w:val="00E9160C"/>
    <w:rsid w:val="00E94948"/>
    <w:rsid w:val="00E96A94"/>
    <w:rsid w:val="00EA3057"/>
    <w:rsid w:val="00EB2EEF"/>
    <w:rsid w:val="00EC0066"/>
    <w:rsid w:val="00EC62A8"/>
    <w:rsid w:val="00EC67F5"/>
    <w:rsid w:val="00ED17F4"/>
    <w:rsid w:val="00EE0484"/>
    <w:rsid w:val="00EE2D5A"/>
    <w:rsid w:val="00EE626C"/>
    <w:rsid w:val="00F014B8"/>
    <w:rsid w:val="00F032B4"/>
    <w:rsid w:val="00F03F52"/>
    <w:rsid w:val="00F23103"/>
    <w:rsid w:val="00F25393"/>
    <w:rsid w:val="00F31E17"/>
    <w:rsid w:val="00F37A88"/>
    <w:rsid w:val="00F4706C"/>
    <w:rsid w:val="00F51A2F"/>
    <w:rsid w:val="00F5245A"/>
    <w:rsid w:val="00F52464"/>
    <w:rsid w:val="00F61D03"/>
    <w:rsid w:val="00F66012"/>
    <w:rsid w:val="00F729E1"/>
    <w:rsid w:val="00F75128"/>
    <w:rsid w:val="00F77295"/>
    <w:rsid w:val="00F8266D"/>
    <w:rsid w:val="00F931FA"/>
    <w:rsid w:val="00F96FBB"/>
    <w:rsid w:val="00FA34B6"/>
    <w:rsid w:val="00FB0E22"/>
    <w:rsid w:val="00FB0FFA"/>
    <w:rsid w:val="00FB192A"/>
    <w:rsid w:val="00FB5419"/>
    <w:rsid w:val="00FB7BBF"/>
    <w:rsid w:val="00FC21DF"/>
    <w:rsid w:val="00FD233A"/>
    <w:rsid w:val="00FD503E"/>
    <w:rsid w:val="00FD5980"/>
    <w:rsid w:val="00FE39AA"/>
    <w:rsid w:val="00FE3F4F"/>
    <w:rsid w:val="00FE74E1"/>
    <w:rsid w:val="00FF45A4"/>
    <w:rsid w:val="00FF5FBC"/>
    <w:rsid w:val="00FF76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143D"/>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0D76D8"/>
    <w:pPr>
      <w:spacing w:before="100" w:beforeAutospacing="1" w:after="100" w:afterAutospacing="1"/>
      <w:outlineLvl w:val="0"/>
    </w:pPr>
    <w:rPr>
      <w:b/>
      <w:bCs/>
      <w:kern w:val="36"/>
      <w:sz w:val="48"/>
      <w:szCs w:val="48"/>
    </w:rPr>
  </w:style>
  <w:style w:type="paragraph" w:styleId="2">
    <w:name w:val="heading 2"/>
    <w:basedOn w:val="a"/>
    <w:next w:val="a"/>
    <w:link w:val="20"/>
    <w:uiPriority w:val="9"/>
    <w:unhideWhenUsed/>
    <w:qFormat/>
    <w:rsid w:val="00665F6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DB500E"/>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Web),Обычный (веб)1"/>
    <w:basedOn w:val="a"/>
    <w:uiPriority w:val="99"/>
    <w:unhideWhenUsed/>
    <w:rsid w:val="00CA458E"/>
    <w:pPr>
      <w:spacing w:before="100" w:beforeAutospacing="1" w:after="100" w:afterAutospacing="1"/>
    </w:pPr>
  </w:style>
  <w:style w:type="character" w:styleId="a4">
    <w:name w:val="Strong"/>
    <w:basedOn w:val="a0"/>
    <w:uiPriority w:val="22"/>
    <w:qFormat/>
    <w:rsid w:val="00044C18"/>
    <w:rPr>
      <w:b/>
      <w:bCs/>
    </w:rPr>
  </w:style>
  <w:style w:type="paragraph" w:styleId="a5">
    <w:name w:val="Balloon Text"/>
    <w:basedOn w:val="a"/>
    <w:link w:val="a6"/>
    <w:uiPriority w:val="99"/>
    <w:semiHidden/>
    <w:unhideWhenUsed/>
    <w:rsid w:val="00044C18"/>
    <w:rPr>
      <w:rFonts w:ascii="Tahoma" w:hAnsi="Tahoma" w:cs="Tahoma"/>
      <w:sz w:val="16"/>
      <w:szCs w:val="16"/>
    </w:rPr>
  </w:style>
  <w:style w:type="character" w:customStyle="1" w:styleId="a6">
    <w:name w:val="Текст выноски Знак"/>
    <w:basedOn w:val="a0"/>
    <w:link w:val="a5"/>
    <w:uiPriority w:val="99"/>
    <w:semiHidden/>
    <w:rsid w:val="00044C18"/>
    <w:rPr>
      <w:rFonts w:ascii="Tahoma" w:hAnsi="Tahoma" w:cs="Tahoma"/>
      <w:sz w:val="16"/>
      <w:szCs w:val="16"/>
    </w:rPr>
  </w:style>
  <w:style w:type="table" w:styleId="a7">
    <w:name w:val="Table Grid"/>
    <w:basedOn w:val="a1"/>
    <w:uiPriority w:val="59"/>
    <w:rsid w:val="009A5B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uiPriority w:val="34"/>
    <w:qFormat/>
    <w:rsid w:val="00DC1363"/>
    <w:pPr>
      <w:ind w:left="720"/>
      <w:contextualSpacing/>
    </w:pPr>
  </w:style>
  <w:style w:type="paragraph" w:styleId="a9">
    <w:name w:val="header"/>
    <w:basedOn w:val="a"/>
    <w:link w:val="aa"/>
    <w:uiPriority w:val="99"/>
    <w:unhideWhenUsed/>
    <w:rsid w:val="00DF5BF9"/>
    <w:pPr>
      <w:tabs>
        <w:tab w:val="center" w:pos="4677"/>
        <w:tab w:val="right" w:pos="9355"/>
      </w:tabs>
    </w:pPr>
  </w:style>
  <w:style w:type="character" w:customStyle="1" w:styleId="aa">
    <w:name w:val="Верхний колонтитул Знак"/>
    <w:basedOn w:val="a0"/>
    <w:link w:val="a9"/>
    <w:uiPriority w:val="99"/>
    <w:rsid w:val="00DF5BF9"/>
  </w:style>
  <w:style w:type="paragraph" w:styleId="ab">
    <w:name w:val="footer"/>
    <w:basedOn w:val="a"/>
    <w:link w:val="ac"/>
    <w:uiPriority w:val="99"/>
    <w:unhideWhenUsed/>
    <w:rsid w:val="00DF5BF9"/>
    <w:pPr>
      <w:tabs>
        <w:tab w:val="center" w:pos="4677"/>
        <w:tab w:val="right" w:pos="9355"/>
      </w:tabs>
    </w:pPr>
  </w:style>
  <w:style w:type="character" w:customStyle="1" w:styleId="ac">
    <w:name w:val="Нижний колонтитул Знак"/>
    <w:basedOn w:val="a0"/>
    <w:link w:val="ab"/>
    <w:uiPriority w:val="99"/>
    <w:rsid w:val="00DF5BF9"/>
  </w:style>
  <w:style w:type="character" w:customStyle="1" w:styleId="10">
    <w:name w:val="Заголовок 1 Знак"/>
    <w:basedOn w:val="a0"/>
    <w:link w:val="1"/>
    <w:uiPriority w:val="9"/>
    <w:rsid w:val="000D76D8"/>
    <w:rPr>
      <w:rFonts w:ascii="Times New Roman" w:eastAsia="Times New Roman" w:hAnsi="Times New Roman" w:cs="Times New Roman"/>
      <w:b/>
      <w:bCs/>
      <w:kern w:val="36"/>
      <w:sz w:val="48"/>
      <w:szCs w:val="48"/>
      <w:lang w:eastAsia="ru-RU"/>
    </w:rPr>
  </w:style>
  <w:style w:type="character" w:customStyle="1" w:styleId="pathway">
    <w:name w:val="pathway"/>
    <w:basedOn w:val="a0"/>
    <w:rsid w:val="000D76D8"/>
  </w:style>
  <w:style w:type="character" w:styleId="ad">
    <w:name w:val="Hyperlink"/>
    <w:basedOn w:val="a0"/>
    <w:uiPriority w:val="99"/>
    <w:unhideWhenUsed/>
    <w:rsid w:val="000D76D8"/>
    <w:rPr>
      <w:color w:val="0000FF"/>
      <w:u w:val="single"/>
    </w:rPr>
  </w:style>
  <w:style w:type="character" w:customStyle="1" w:styleId="20">
    <w:name w:val="Заголовок 2 Знак"/>
    <w:basedOn w:val="a0"/>
    <w:link w:val="2"/>
    <w:uiPriority w:val="9"/>
    <w:rsid w:val="00665F6B"/>
    <w:rPr>
      <w:rFonts w:asciiTheme="majorHAnsi" w:eastAsiaTheme="majorEastAsia" w:hAnsiTheme="majorHAnsi" w:cstheme="majorBidi"/>
      <w:b/>
      <w:bCs/>
      <w:color w:val="4F81BD" w:themeColor="accent1"/>
      <w:sz w:val="26"/>
      <w:szCs w:val="26"/>
    </w:rPr>
  </w:style>
  <w:style w:type="paragraph" w:styleId="HTML">
    <w:name w:val="HTML Preformatted"/>
    <w:basedOn w:val="a"/>
    <w:link w:val="HTML0"/>
    <w:uiPriority w:val="99"/>
    <w:semiHidden/>
    <w:unhideWhenUsed/>
    <w:rsid w:val="00665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665F6B"/>
    <w:rPr>
      <w:rFonts w:ascii="Courier New" w:eastAsia="Times New Roman" w:hAnsi="Courier New" w:cs="Courier New"/>
      <w:sz w:val="20"/>
      <w:szCs w:val="20"/>
      <w:lang w:eastAsia="ru-RU"/>
    </w:rPr>
  </w:style>
  <w:style w:type="character" w:styleId="HTML1">
    <w:name w:val="HTML Cite"/>
    <w:basedOn w:val="a0"/>
    <w:uiPriority w:val="99"/>
    <w:semiHidden/>
    <w:unhideWhenUsed/>
    <w:rsid w:val="00665F6B"/>
    <w:rPr>
      <w:i/>
      <w:iCs/>
    </w:rPr>
  </w:style>
  <w:style w:type="paragraph" w:customStyle="1" w:styleId="Default">
    <w:name w:val="Default"/>
    <w:rsid w:val="00D23C84"/>
    <w:pPr>
      <w:autoSpaceDE w:val="0"/>
      <w:autoSpaceDN w:val="0"/>
      <w:adjustRightInd w:val="0"/>
      <w:spacing w:after="0" w:line="240" w:lineRule="auto"/>
    </w:pPr>
    <w:rPr>
      <w:rFonts w:ascii="Times New Roman" w:hAnsi="Times New Roman" w:cs="Times New Roman"/>
      <w:color w:val="000000"/>
      <w:sz w:val="24"/>
      <w:szCs w:val="24"/>
    </w:rPr>
  </w:style>
  <w:style w:type="paragraph" w:styleId="ae">
    <w:name w:val="footnote text"/>
    <w:aliases w:val="single space,Знак Знак Знак,Текст сноски Знак1 Знак,Текст сноски Знак Знак Знак,Footnote Text Char Знак Знак,Footnote Text Char Знак,Текст сноски-FN,Oaeno niinee-FN,Oaeno niinee Ciae,Table_Footnote_last Знак,single spac,Зн"/>
    <w:basedOn w:val="a"/>
    <w:link w:val="11"/>
    <w:qFormat/>
    <w:rsid w:val="004E143D"/>
    <w:rPr>
      <w:sz w:val="20"/>
      <w:szCs w:val="20"/>
    </w:rPr>
  </w:style>
  <w:style w:type="character" w:customStyle="1" w:styleId="af">
    <w:name w:val="Текст сноски Знак"/>
    <w:basedOn w:val="a0"/>
    <w:uiPriority w:val="99"/>
    <w:semiHidden/>
    <w:rsid w:val="004E143D"/>
    <w:rPr>
      <w:rFonts w:ascii="Times New Roman" w:eastAsia="Times New Roman" w:hAnsi="Times New Roman" w:cs="Times New Roman"/>
      <w:sz w:val="20"/>
      <w:szCs w:val="20"/>
      <w:lang w:eastAsia="ru-RU"/>
    </w:rPr>
  </w:style>
  <w:style w:type="character" w:customStyle="1" w:styleId="11">
    <w:name w:val="Текст сноски Знак1"/>
    <w:aliases w:val="single space Знак,Знак Знак Знак Знак,Текст сноски Знак1 Знак Знак,Текст сноски Знак Знак Знак Знак,Footnote Text Char Знак Знак Знак,Footnote Text Char Знак Знак1,Текст сноски-FN Знак,Oaeno niinee-FN Знак,Oaeno niinee Ciae Знак"/>
    <w:link w:val="ae"/>
    <w:rsid w:val="004E143D"/>
    <w:rPr>
      <w:rFonts w:ascii="Times New Roman" w:eastAsia="Times New Roman" w:hAnsi="Times New Roman" w:cs="Times New Roman"/>
      <w:sz w:val="20"/>
      <w:szCs w:val="20"/>
      <w:lang w:eastAsia="ru-RU"/>
    </w:rPr>
  </w:style>
  <w:style w:type="character" w:styleId="af0">
    <w:name w:val="footnote reference"/>
    <w:aliases w:val="Знак сноски-FN,Знак сноски 1,Ciae niinee-FN,анкета сноска,Ciae niinee 1,SUPERS,Referencia nota al pie"/>
    <w:rsid w:val="004E143D"/>
    <w:rPr>
      <w:vertAlign w:val="superscript"/>
    </w:rPr>
  </w:style>
  <w:style w:type="character" w:customStyle="1" w:styleId="nobr">
    <w:name w:val="nobr"/>
    <w:basedOn w:val="a0"/>
    <w:rsid w:val="000F214F"/>
  </w:style>
  <w:style w:type="character" w:customStyle="1" w:styleId="40">
    <w:name w:val="Заголовок 4 Знак"/>
    <w:basedOn w:val="a0"/>
    <w:link w:val="4"/>
    <w:uiPriority w:val="9"/>
    <w:semiHidden/>
    <w:rsid w:val="00DB500E"/>
    <w:rPr>
      <w:rFonts w:asciiTheme="majorHAnsi" w:eastAsiaTheme="majorEastAsia" w:hAnsiTheme="majorHAnsi" w:cstheme="majorBidi"/>
      <w:b/>
      <w:bCs/>
      <w:i/>
      <w:iCs/>
      <w:color w:val="4F81BD" w:themeColor="accent1"/>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143D"/>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0D76D8"/>
    <w:pPr>
      <w:spacing w:before="100" w:beforeAutospacing="1" w:after="100" w:afterAutospacing="1"/>
      <w:outlineLvl w:val="0"/>
    </w:pPr>
    <w:rPr>
      <w:b/>
      <w:bCs/>
      <w:kern w:val="36"/>
      <w:sz w:val="48"/>
      <w:szCs w:val="48"/>
    </w:rPr>
  </w:style>
  <w:style w:type="paragraph" w:styleId="2">
    <w:name w:val="heading 2"/>
    <w:basedOn w:val="a"/>
    <w:next w:val="a"/>
    <w:link w:val="20"/>
    <w:uiPriority w:val="9"/>
    <w:unhideWhenUsed/>
    <w:qFormat/>
    <w:rsid w:val="00665F6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DB500E"/>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Web),Обычный (веб)1"/>
    <w:basedOn w:val="a"/>
    <w:uiPriority w:val="99"/>
    <w:unhideWhenUsed/>
    <w:rsid w:val="00CA458E"/>
    <w:pPr>
      <w:spacing w:before="100" w:beforeAutospacing="1" w:after="100" w:afterAutospacing="1"/>
    </w:pPr>
  </w:style>
  <w:style w:type="character" w:styleId="a4">
    <w:name w:val="Strong"/>
    <w:basedOn w:val="a0"/>
    <w:uiPriority w:val="22"/>
    <w:qFormat/>
    <w:rsid w:val="00044C18"/>
    <w:rPr>
      <w:b/>
      <w:bCs/>
    </w:rPr>
  </w:style>
  <w:style w:type="paragraph" w:styleId="a5">
    <w:name w:val="Balloon Text"/>
    <w:basedOn w:val="a"/>
    <w:link w:val="a6"/>
    <w:uiPriority w:val="99"/>
    <w:semiHidden/>
    <w:unhideWhenUsed/>
    <w:rsid w:val="00044C18"/>
    <w:rPr>
      <w:rFonts w:ascii="Tahoma" w:hAnsi="Tahoma" w:cs="Tahoma"/>
      <w:sz w:val="16"/>
      <w:szCs w:val="16"/>
    </w:rPr>
  </w:style>
  <w:style w:type="character" w:customStyle="1" w:styleId="a6">
    <w:name w:val="Текст выноски Знак"/>
    <w:basedOn w:val="a0"/>
    <w:link w:val="a5"/>
    <w:uiPriority w:val="99"/>
    <w:semiHidden/>
    <w:rsid w:val="00044C18"/>
    <w:rPr>
      <w:rFonts w:ascii="Tahoma" w:hAnsi="Tahoma" w:cs="Tahoma"/>
      <w:sz w:val="16"/>
      <w:szCs w:val="16"/>
    </w:rPr>
  </w:style>
  <w:style w:type="table" w:styleId="a7">
    <w:name w:val="Table Grid"/>
    <w:basedOn w:val="a1"/>
    <w:uiPriority w:val="59"/>
    <w:rsid w:val="009A5B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uiPriority w:val="34"/>
    <w:qFormat/>
    <w:rsid w:val="00DC1363"/>
    <w:pPr>
      <w:ind w:left="720"/>
      <w:contextualSpacing/>
    </w:pPr>
  </w:style>
  <w:style w:type="paragraph" w:styleId="a9">
    <w:name w:val="header"/>
    <w:basedOn w:val="a"/>
    <w:link w:val="aa"/>
    <w:uiPriority w:val="99"/>
    <w:unhideWhenUsed/>
    <w:rsid w:val="00DF5BF9"/>
    <w:pPr>
      <w:tabs>
        <w:tab w:val="center" w:pos="4677"/>
        <w:tab w:val="right" w:pos="9355"/>
      </w:tabs>
    </w:pPr>
  </w:style>
  <w:style w:type="character" w:customStyle="1" w:styleId="aa">
    <w:name w:val="Верхний колонтитул Знак"/>
    <w:basedOn w:val="a0"/>
    <w:link w:val="a9"/>
    <w:uiPriority w:val="99"/>
    <w:rsid w:val="00DF5BF9"/>
  </w:style>
  <w:style w:type="paragraph" w:styleId="ab">
    <w:name w:val="footer"/>
    <w:basedOn w:val="a"/>
    <w:link w:val="ac"/>
    <w:uiPriority w:val="99"/>
    <w:unhideWhenUsed/>
    <w:rsid w:val="00DF5BF9"/>
    <w:pPr>
      <w:tabs>
        <w:tab w:val="center" w:pos="4677"/>
        <w:tab w:val="right" w:pos="9355"/>
      </w:tabs>
    </w:pPr>
  </w:style>
  <w:style w:type="character" w:customStyle="1" w:styleId="ac">
    <w:name w:val="Нижний колонтитул Знак"/>
    <w:basedOn w:val="a0"/>
    <w:link w:val="ab"/>
    <w:uiPriority w:val="99"/>
    <w:rsid w:val="00DF5BF9"/>
  </w:style>
  <w:style w:type="character" w:customStyle="1" w:styleId="10">
    <w:name w:val="Заголовок 1 Знак"/>
    <w:basedOn w:val="a0"/>
    <w:link w:val="1"/>
    <w:uiPriority w:val="9"/>
    <w:rsid w:val="000D76D8"/>
    <w:rPr>
      <w:rFonts w:ascii="Times New Roman" w:eastAsia="Times New Roman" w:hAnsi="Times New Roman" w:cs="Times New Roman"/>
      <w:b/>
      <w:bCs/>
      <w:kern w:val="36"/>
      <w:sz w:val="48"/>
      <w:szCs w:val="48"/>
      <w:lang w:eastAsia="ru-RU"/>
    </w:rPr>
  </w:style>
  <w:style w:type="character" w:customStyle="1" w:styleId="pathway">
    <w:name w:val="pathway"/>
    <w:basedOn w:val="a0"/>
    <w:rsid w:val="000D76D8"/>
  </w:style>
  <w:style w:type="character" w:styleId="ad">
    <w:name w:val="Hyperlink"/>
    <w:basedOn w:val="a0"/>
    <w:uiPriority w:val="99"/>
    <w:unhideWhenUsed/>
    <w:rsid w:val="000D76D8"/>
    <w:rPr>
      <w:color w:val="0000FF"/>
      <w:u w:val="single"/>
    </w:rPr>
  </w:style>
  <w:style w:type="character" w:customStyle="1" w:styleId="20">
    <w:name w:val="Заголовок 2 Знак"/>
    <w:basedOn w:val="a0"/>
    <w:link w:val="2"/>
    <w:uiPriority w:val="9"/>
    <w:rsid w:val="00665F6B"/>
    <w:rPr>
      <w:rFonts w:asciiTheme="majorHAnsi" w:eastAsiaTheme="majorEastAsia" w:hAnsiTheme="majorHAnsi" w:cstheme="majorBidi"/>
      <w:b/>
      <w:bCs/>
      <w:color w:val="4F81BD" w:themeColor="accent1"/>
      <w:sz w:val="26"/>
      <w:szCs w:val="26"/>
    </w:rPr>
  </w:style>
  <w:style w:type="paragraph" w:styleId="HTML">
    <w:name w:val="HTML Preformatted"/>
    <w:basedOn w:val="a"/>
    <w:link w:val="HTML0"/>
    <w:uiPriority w:val="99"/>
    <w:semiHidden/>
    <w:unhideWhenUsed/>
    <w:rsid w:val="00665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665F6B"/>
    <w:rPr>
      <w:rFonts w:ascii="Courier New" w:eastAsia="Times New Roman" w:hAnsi="Courier New" w:cs="Courier New"/>
      <w:sz w:val="20"/>
      <w:szCs w:val="20"/>
      <w:lang w:eastAsia="ru-RU"/>
    </w:rPr>
  </w:style>
  <w:style w:type="character" w:styleId="HTML1">
    <w:name w:val="HTML Cite"/>
    <w:basedOn w:val="a0"/>
    <w:uiPriority w:val="99"/>
    <w:semiHidden/>
    <w:unhideWhenUsed/>
    <w:rsid w:val="00665F6B"/>
    <w:rPr>
      <w:i/>
      <w:iCs/>
    </w:rPr>
  </w:style>
  <w:style w:type="paragraph" w:customStyle="1" w:styleId="Default">
    <w:name w:val="Default"/>
    <w:rsid w:val="00D23C84"/>
    <w:pPr>
      <w:autoSpaceDE w:val="0"/>
      <w:autoSpaceDN w:val="0"/>
      <w:adjustRightInd w:val="0"/>
      <w:spacing w:after="0" w:line="240" w:lineRule="auto"/>
    </w:pPr>
    <w:rPr>
      <w:rFonts w:ascii="Times New Roman" w:hAnsi="Times New Roman" w:cs="Times New Roman"/>
      <w:color w:val="000000"/>
      <w:sz w:val="24"/>
      <w:szCs w:val="24"/>
    </w:rPr>
  </w:style>
  <w:style w:type="paragraph" w:styleId="ae">
    <w:name w:val="footnote text"/>
    <w:aliases w:val="single space,Знак Знак Знак,Текст сноски Знак1 Знак,Текст сноски Знак Знак Знак,Footnote Text Char Знак Знак,Footnote Text Char Знак,Текст сноски-FN,Oaeno niinee-FN,Oaeno niinee Ciae,Table_Footnote_last Знак,single spac,Зн"/>
    <w:basedOn w:val="a"/>
    <w:link w:val="11"/>
    <w:qFormat/>
    <w:rsid w:val="004E143D"/>
    <w:rPr>
      <w:sz w:val="20"/>
      <w:szCs w:val="20"/>
    </w:rPr>
  </w:style>
  <w:style w:type="character" w:customStyle="1" w:styleId="af">
    <w:name w:val="Текст сноски Знак"/>
    <w:basedOn w:val="a0"/>
    <w:uiPriority w:val="99"/>
    <w:semiHidden/>
    <w:rsid w:val="004E143D"/>
    <w:rPr>
      <w:rFonts w:ascii="Times New Roman" w:eastAsia="Times New Roman" w:hAnsi="Times New Roman" w:cs="Times New Roman"/>
      <w:sz w:val="20"/>
      <w:szCs w:val="20"/>
      <w:lang w:eastAsia="ru-RU"/>
    </w:rPr>
  </w:style>
  <w:style w:type="character" w:customStyle="1" w:styleId="11">
    <w:name w:val="Текст сноски Знак1"/>
    <w:aliases w:val="single space Знак,Знак Знак Знак Знак,Текст сноски Знак1 Знак Знак,Текст сноски Знак Знак Знак Знак,Footnote Text Char Знак Знак Знак,Footnote Text Char Знак Знак1,Текст сноски-FN Знак,Oaeno niinee-FN Знак,Oaeno niinee Ciae Знак"/>
    <w:link w:val="ae"/>
    <w:rsid w:val="004E143D"/>
    <w:rPr>
      <w:rFonts w:ascii="Times New Roman" w:eastAsia="Times New Roman" w:hAnsi="Times New Roman" w:cs="Times New Roman"/>
      <w:sz w:val="20"/>
      <w:szCs w:val="20"/>
      <w:lang w:eastAsia="ru-RU"/>
    </w:rPr>
  </w:style>
  <w:style w:type="character" w:styleId="af0">
    <w:name w:val="footnote reference"/>
    <w:aliases w:val="Знак сноски-FN,Знак сноски 1,Ciae niinee-FN,анкета сноска,Ciae niinee 1,SUPERS,Referencia nota al pie"/>
    <w:rsid w:val="004E143D"/>
    <w:rPr>
      <w:vertAlign w:val="superscript"/>
    </w:rPr>
  </w:style>
  <w:style w:type="character" w:customStyle="1" w:styleId="nobr">
    <w:name w:val="nobr"/>
    <w:basedOn w:val="a0"/>
    <w:rsid w:val="000F214F"/>
  </w:style>
  <w:style w:type="character" w:customStyle="1" w:styleId="40">
    <w:name w:val="Заголовок 4 Знак"/>
    <w:basedOn w:val="a0"/>
    <w:link w:val="4"/>
    <w:uiPriority w:val="9"/>
    <w:semiHidden/>
    <w:rsid w:val="00DB500E"/>
    <w:rPr>
      <w:rFonts w:asciiTheme="majorHAnsi" w:eastAsiaTheme="majorEastAsia" w:hAnsiTheme="majorHAnsi" w:cstheme="majorBidi"/>
      <w:b/>
      <w:bCs/>
      <w:i/>
      <w:iCs/>
      <w:color w:val="4F81BD" w:themeColor="accent1"/>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677203">
      <w:bodyDiv w:val="1"/>
      <w:marLeft w:val="0"/>
      <w:marRight w:val="0"/>
      <w:marTop w:val="0"/>
      <w:marBottom w:val="0"/>
      <w:divBdr>
        <w:top w:val="none" w:sz="0" w:space="0" w:color="auto"/>
        <w:left w:val="none" w:sz="0" w:space="0" w:color="auto"/>
        <w:bottom w:val="none" w:sz="0" w:space="0" w:color="auto"/>
        <w:right w:val="none" w:sz="0" w:space="0" w:color="auto"/>
      </w:divBdr>
    </w:div>
    <w:div w:id="180511140">
      <w:bodyDiv w:val="1"/>
      <w:marLeft w:val="0"/>
      <w:marRight w:val="0"/>
      <w:marTop w:val="0"/>
      <w:marBottom w:val="0"/>
      <w:divBdr>
        <w:top w:val="none" w:sz="0" w:space="0" w:color="auto"/>
        <w:left w:val="none" w:sz="0" w:space="0" w:color="auto"/>
        <w:bottom w:val="none" w:sz="0" w:space="0" w:color="auto"/>
        <w:right w:val="none" w:sz="0" w:space="0" w:color="auto"/>
      </w:divBdr>
    </w:div>
    <w:div w:id="233585176">
      <w:bodyDiv w:val="1"/>
      <w:marLeft w:val="0"/>
      <w:marRight w:val="0"/>
      <w:marTop w:val="0"/>
      <w:marBottom w:val="0"/>
      <w:divBdr>
        <w:top w:val="none" w:sz="0" w:space="0" w:color="auto"/>
        <w:left w:val="none" w:sz="0" w:space="0" w:color="auto"/>
        <w:bottom w:val="none" w:sz="0" w:space="0" w:color="auto"/>
        <w:right w:val="none" w:sz="0" w:space="0" w:color="auto"/>
      </w:divBdr>
    </w:div>
    <w:div w:id="301270593">
      <w:bodyDiv w:val="1"/>
      <w:marLeft w:val="0"/>
      <w:marRight w:val="0"/>
      <w:marTop w:val="0"/>
      <w:marBottom w:val="0"/>
      <w:divBdr>
        <w:top w:val="none" w:sz="0" w:space="0" w:color="auto"/>
        <w:left w:val="none" w:sz="0" w:space="0" w:color="auto"/>
        <w:bottom w:val="none" w:sz="0" w:space="0" w:color="auto"/>
        <w:right w:val="none" w:sz="0" w:space="0" w:color="auto"/>
      </w:divBdr>
    </w:div>
    <w:div w:id="328019178">
      <w:bodyDiv w:val="1"/>
      <w:marLeft w:val="0"/>
      <w:marRight w:val="0"/>
      <w:marTop w:val="0"/>
      <w:marBottom w:val="0"/>
      <w:divBdr>
        <w:top w:val="none" w:sz="0" w:space="0" w:color="auto"/>
        <w:left w:val="none" w:sz="0" w:space="0" w:color="auto"/>
        <w:bottom w:val="none" w:sz="0" w:space="0" w:color="auto"/>
        <w:right w:val="none" w:sz="0" w:space="0" w:color="auto"/>
      </w:divBdr>
    </w:div>
    <w:div w:id="351689699">
      <w:bodyDiv w:val="1"/>
      <w:marLeft w:val="0"/>
      <w:marRight w:val="0"/>
      <w:marTop w:val="0"/>
      <w:marBottom w:val="0"/>
      <w:divBdr>
        <w:top w:val="none" w:sz="0" w:space="0" w:color="auto"/>
        <w:left w:val="none" w:sz="0" w:space="0" w:color="auto"/>
        <w:bottom w:val="none" w:sz="0" w:space="0" w:color="auto"/>
        <w:right w:val="none" w:sz="0" w:space="0" w:color="auto"/>
      </w:divBdr>
    </w:div>
    <w:div w:id="475806139">
      <w:bodyDiv w:val="1"/>
      <w:marLeft w:val="0"/>
      <w:marRight w:val="0"/>
      <w:marTop w:val="0"/>
      <w:marBottom w:val="0"/>
      <w:divBdr>
        <w:top w:val="none" w:sz="0" w:space="0" w:color="auto"/>
        <w:left w:val="none" w:sz="0" w:space="0" w:color="auto"/>
        <w:bottom w:val="none" w:sz="0" w:space="0" w:color="auto"/>
        <w:right w:val="none" w:sz="0" w:space="0" w:color="auto"/>
      </w:divBdr>
      <w:divsChild>
        <w:div w:id="401876202">
          <w:marLeft w:val="0"/>
          <w:marRight w:val="0"/>
          <w:marTop w:val="0"/>
          <w:marBottom w:val="0"/>
          <w:divBdr>
            <w:top w:val="none" w:sz="0" w:space="0" w:color="auto"/>
            <w:left w:val="none" w:sz="0" w:space="0" w:color="auto"/>
            <w:bottom w:val="none" w:sz="0" w:space="0" w:color="auto"/>
            <w:right w:val="none" w:sz="0" w:space="0" w:color="auto"/>
          </w:divBdr>
          <w:divsChild>
            <w:div w:id="1079447263">
              <w:marLeft w:val="0"/>
              <w:marRight w:val="0"/>
              <w:marTop w:val="0"/>
              <w:marBottom w:val="0"/>
              <w:divBdr>
                <w:top w:val="none" w:sz="0" w:space="0" w:color="auto"/>
                <w:left w:val="none" w:sz="0" w:space="0" w:color="auto"/>
                <w:bottom w:val="none" w:sz="0" w:space="0" w:color="auto"/>
                <w:right w:val="none" w:sz="0" w:space="0" w:color="auto"/>
              </w:divBdr>
              <w:divsChild>
                <w:div w:id="1281571832">
                  <w:marLeft w:val="0"/>
                  <w:marRight w:val="0"/>
                  <w:marTop w:val="0"/>
                  <w:marBottom w:val="0"/>
                  <w:divBdr>
                    <w:top w:val="none" w:sz="0" w:space="0" w:color="auto"/>
                    <w:left w:val="none" w:sz="0" w:space="0" w:color="auto"/>
                    <w:bottom w:val="none" w:sz="0" w:space="0" w:color="auto"/>
                    <w:right w:val="none" w:sz="0" w:space="0" w:color="auto"/>
                  </w:divBdr>
                </w:div>
              </w:divsChild>
            </w:div>
            <w:div w:id="2094858480">
              <w:marLeft w:val="0"/>
              <w:marRight w:val="0"/>
              <w:marTop w:val="0"/>
              <w:marBottom w:val="0"/>
              <w:divBdr>
                <w:top w:val="none" w:sz="0" w:space="0" w:color="auto"/>
                <w:left w:val="none" w:sz="0" w:space="0" w:color="auto"/>
                <w:bottom w:val="none" w:sz="0" w:space="0" w:color="auto"/>
                <w:right w:val="none" w:sz="0" w:space="0" w:color="auto"/>
              </w:divBdr>
            </w:div>
            <w:div w:id="185297224">
              <w:marLeft w:val="0"/>
              <w:marRight w:val="120"/>
              <w:marTop w:val="0"/>
              <w:marBottom w:val="0"/>
              <w:divBdr>
                <w:top w:val="none" w:sz="0" w:space="0" w:color="auto"/>
                <w:left w:val="none" w:sz="0" w:space="0" w:color="auto"/>
                <w:bottom w:val="none" w:sz="0" w:space="0" w:color="auto"/>
                <w:right w:val="none" w:sz="0" w:space="0" w:color="auto"/>
              </w:divBdr>
            </w:div>
          </w:divsChild>
        </w:div>
      </w:divsChild>
    </w:div>
    <w:div w:id="501045107">
      <w:bodyDiv w:val="1"/>
      <w:marLeft w:val="0"/>
      <w:marRight w:val="0"/>
      <w:marTop w:val="0"/>
      <w:marBottom w:val="0"/>
      <w:divBdr>
        <w:top w:val="none" w:sz="0" w:space="0" w:color="auto"/>
        <w:left w:val="none" w:sz="0" w:space="0" w:color="auto"/>
        <w:bottom w:val="none" w:sz="0" w:space="0" w:color="auto"/>
        <w:right w:val="none" w:sz="0" w:space="0" w:color="auto"/>
      </w:divBdr>
    </w:div>
    <w:div w:id="563029220">
      <w:bodyDiv w:val="1"/>
      <w:marLeft w:val="0"/>
      <w:marRight w:val="0"/>
      <w:marTop w:val="0"/>
      <w:marBottom w:val="0"/>
      <w:divBdr>
        <w:top w:val="none" w:sz="0" w:space="0" w:color="auto"/>
        <w:left w:val="none" w:sz="0" w:space="0" w:color="auto"/>
        <w:bottom w:val="none" w:sz="0" w:space="0" w:color="auto"/>
        <w:right w:val="none" w:sz="0" w:space="0" w:color="auto"/>
      </w:divBdr>
    </w:div>
    <w:div w:id="580716935">
      <w:bodyDiv w:val="1"/>
      <w:marLeft w:val="0"/>
      <w:marRight w:val="0"/>
      <w:marTop w:val="0"/>
      <w:marBottom w:val="0"/>
      <w:divBdr>
        <w:top w:val="none" w:sz="0" w:space="0" w:color="auto"/>
        <w:left w:val="none" w:sz="0" w:space="0" w:color="auto"/>
        <w:bottom w:val="none" w:sz="0" w:space="0" w:color="auto"/>
        <w:right w:val="none" w:sz="0" w:space="0" w:color="auto"/>
      </w:divBdr>
    </w:div>
    <w:div w:id="599487676">
      <w:bodyDiv w:val="1"/>
      <w:marLeft w:val="0"/>
      <w:marRight w:val="0"/>
      <w:marTop w:val="0"/>
      <w:marBottom w:val="0"/>
      <w:divBdr>
        <w:top w:val="none" w:sz="0" w:space="0" w:color="auto"/>
        <w:left w:val="none" w:sz="0" w:space="0" w:color="auto"/>
        <w:bottom w:val="none" w:sz="0" w:space="0" w:color="auto"/>
        <w:right w:val="none" w:sz="0" w:space="0" w:color="auto"/>
      </w:divBdr>
    </w:div>
    <w:div w:id="753891036">
      <w:bodyDiv w:val="1"/>
      <w:marLeft w:val="0"/>
      <w:marRight w:val="0"/>
      <w:marTop w:val="0"/>
      <w:marBottom w:val="0"/>
      <w:divBdr>
        <w:top w:val="none" w:sz="0" w:space="0" w:color="auto"/>
        <w:left w:val="none" w:sz="0" w:space="0" w:color="auto"/>
        <w:bottom w:val="none" w:sz="0" w:space="0" w:color="auto"/>
        <w:right w:val="none" w:sz="0" w:space="0" w:color="auto"/>
      </w:divBdr>
    </w:div>
    <w:div w:id="757285833">
      <w:bodyDiv w:val="1"/>
      <w:marLeft w:val="0"/>
      <w:marRight w:val="0"/>
      <w:marTop w:val="0"/>
      <w:marBottom w:val="0"/>
      <w:divBdr>
        <w:top w:val="none" w:sz="0" w:space="0" w:color="auto"/>
        <w:left w:val="none" w:sz="0" w:space="0" w:color="auto"/>
        <w:bottom w:val="none" w:sz="0" w:space="0" w:color="auto"/>
        <w:right w:val="none" w:sz="0" w:space="0" w:color="auto"/>
      </w:divBdr>
    </w:div>
    <w:div w:id="827480362">
      <w:bodyDiv w:val="1"/>
      <w:marLeft w:val="0"/>
      <w:marRight w:val="0"/>
      <w:marTop w:val="0"/>
      <w:marBottom w:val="0"/>
      <w:divBdr>
        <w:top w:val="none" w:sz="0" w:space="0" w:color="auto"/>
        <w:left w:val="none" w:sz="0" w:space="0" w:color="auto"/>
        <w:bottom w:val="none" w:sz="0" w:space="0" w:color="auto"/>
        <w:right w:val="none" w:sz="0" w:space="0" w:color="auto"/>
      </w:divBdr>
    </w:div>
    <w:div w:id="855778395">
      <w:bodyDiv w:val="1"/>
      <w:marLeft w:val="0"/>
      <w:marRight w:val="0"/>
      <w:marTop w:val="0"/>
      <w:marBottom w:val="0"/>
      <w:divBdr>
        <w:top w:val="none" w:sz="0" w:space="0" w:color="auto"/>
        <w:left w:val="none" w:sz="0" w:space="0" w:color="auto"/>
        <w:bottom w:val="none" w:sz="0" w:space="0" w:color="auto"/>
        <w:right w:val="none" w:sz="0" w:space="0" w:color="auto"/>
      </w:divBdr>
    </w:div>
    <w:div w:id="919682660">
      <w:bodyDiv w:val="1"/>
      <w:marLeft w:val="0"/>
      <w:marRight w:val="0"/>
      <w:marTop w:val="0"/>
      <w:marBottom w:val="0"/>
      <w:divBdr>
        <w:top w:val="none" w:sz="0" w:space="0" w:color="auto"/>
        <w:left w:val="none" w:sz="0" w:space="0" w:color="auto"/>
        <w:bottom w:val="none" w:sz="0" w:space="0" w:color="auto"/>
        <w:right w:val="none" w:sz="0" w:space="0" w:color="auto"/>
      </w:divBdr>
      <w:divsChild>
        <w:div w:id="670714711">
          <w:marLeft w:val="0"/>
          <w:marRight w:val="0"/>
          <w:marTop w:val="0"/>
          <w:marBottom w:val="0"/>
          <w:divBdr>
            <w:top w:val="none" w:sz="0" w:space="0" w:color="auto"/>
            <w:left w:val="none" w:sz="0" w:space="0" w:color="auto"/>
            <w:bottom w:val="none" w:sz="0" w:space="0" w:color="auto"/>
            <w:right w:val="none" w:sz="0" w:space="0" w:color="auto"/>
          </w:divBdr>
          <w:divsChild>
            <w:div w:id="23867528">
              <w:marLeft w:val="0"/>
              <w:marRight w:val="0"/>
              <w:marTop w:val="0"/>
              <w:marBottom w:val="0"/>
              <w:divBdr>
                <w:top w:val="none" w:sz="0" w:space="0" w:color="auto"/>
                <w:left w:val="none" w:sz="0" w:space="0" w:color="auto"/>
                <w:bottom w:val="none" w:sz="0" w:space="0" w:color="auto"/>
                <w:right w:val="none" w:sz="0" w:space="0" w:color="auto"/>
              </w:divBdr>
              <w:divsChild>
                <w:div w:id="1721590337">
                  <w:marLeft w:val="0"/>
                  <w:marRight w:val="0"/>
                  <w:marTop w:val="0"/>
                  <w:marBottom w:val="0"/>
                  <w:divBdr>
                    <w:top w:val="none" w:sz="0" w:space="0" w:color="auto"/>
                    <w:left w:val="none" w:sz="0" w:space="0" w:color="auto"/>
                    <w:bottom w:val="none" w:sz="0" w:space="0" w:color="auto"/>
                    <w:right w:val="none" w:sz="0" w:space="0" w:color="auto"/>
                  </w:divBdr>
                </w:div>
              </w:divsChild>
            </w:div>
            <w:div w:id="205260083">
              <w:marLeft w:val="0"/>
              <w:marRight w:val="0"/>
              <w:marTop w:val="0"/>
              <w:marBottom w:val="0"/>
              <w:divBdr>
                <w:top w:val="none" w:sz="0" w:space="0" w:color="auto"/>
                <w:left w:val="none" w:sz="0" w:space="0" w:color="auto"/>
                <w:bottom w:val="none" w:sz="0" w:space="0" w:color="auto"/>
                <w:right w:val="none" w:sz="0" w:space="0" w:color="auto"/>
              </w:divBdr>
            </w:div>
            <w:div w:id="49155170">
              <w:marLeft w:val="0"/>
              <w:marRight w:val="120"/>
              <w:marTop w:val="0"/>
              <w:marBottom w:val="0"/>
              <w:divBdr>
                <w:top w:val="none" w:sz="0" w:space="0" w:color="auto"/>
                <w:left w:val="none" w:sz="0" w:space="0" w:color="auto"/>
                <w:bottom w:val="none" w:sz="0" w:space="0" w:color="auto"/>
                <w:right w:val="none" w:sz="0" w:space="0" w:color="auto"/>
              </w:divBdr>
            </w:div>
          </w:divsChild>
        </w:div>
      </w:divsChild>
    </w:div>
    <w:div w:id="1207336176">
      <w:bodyDiv w:val="1"/>
      <w:marLeft w:val="0"/>
      <w:marRight w:val="0"/>
      <w:marTop w:val="0"/>
      <w:marBottom w:val="0"/>
      <w:divBdr>
        <w:top w:val="none" w:sz="0" w:space="0" w:color="auto"/>
        <w:left w:val="none" w:sz="0" w:space="0" w:color="auto"/>
        <w:bottom w:val="none" w:sz="0" w:space="0" w:color="auto"/>
        <w:right w:val="none" w:sz="0" w:space="0" w:color="auto"/>
      </w:divBdr>
    </w:div>
    <w:div w:id="1207714211">
      <w:bodyDiv w:val="1"/>
      <w:marLeft w:val="0"/>
      <w:marRight w:val="0"/>
      <w:marTop w:val="0"/>
      <w:marBottom w:val="0"/>
      <w:divBdr>
        <w:top w:val="none" w:sz="0" w:space="0" w:color="auto"/>
        <w:left w:val="none" w:sz="0" w:space="0" w:color="auto"/>
        <w:bottom w:val="none" w:sz="0" w:space="0" w:color="auto"/>
        <w:right w:val="none" w:sz="0" w:space="0" w:color="auto"/>
      </w:divBdr>
    </w:div>
    <w:div w:id="1257901976">
      <w:bodyDiv w:val="1"/>
      <w:marLeft w:val="0"/>
      <w:marRight w:val="0"/>
      <w:marTop w:val="0"/>
      <w:marBottom w:val="0"/>
      <w:divBdr>
        <w:top w:val="none" w:sz="0" w:space="0" w:color="auto"/>
        <w:left w:val="none" w:sz="0" w:space="0" w:color="auto"/>
        <w:bottom w:val="none" w:sz="0" w:space="0" w:color="auto"/>
        <w:right w:val="none" w:sz="0" w:space="0" w:color="auto"/>
      </w:divBdr>
    </w:div>
    <w:div w:id="1459951271">
      <w:bodyDiv w:val="1"/>
      <w:marLeft w:val="0"/>
      <w:marRight w:val="0"/>
      <w:marTop w:val="0"/>
      <w:marBottom w:val="0"/>
      <w:divBdr>
        <w:top w:val="none" w:sz="0" w:space="0" w:color="auto"/>
        <w:left w:val="none" w:sz="0" w:space="0" w:color="auto"/>
        <w:bottom w:val="none" w:sz="0" w:space="0" w:color="auto"/>
        <w:right w:val="none" w:sz="0" w:space="0" w:color="auto"/>
      </w:divBdr>
    </w:div>
    <w:div w:id="1485584407">
      <w:bodyDiv w:val="1"/>
      <w:marLeft w:val="0"/>
      <w:marRight w:val="0"/>
      <w:marTop w:val="0"/>
      <w:marBottom w:val="0"/>
      <w:divBdr>
        <w:top w:val="none" w:sz="0" w:space="0" w:color="auto"/>
        <w:left w:val="none" w:sz="0" w:space="0" w:color="auto"/>
        <w:bottom w:val="none" w:sz="0" w:space="0" w:color="auto"/>
        <w:right w:val="none" w:sz="0" w:space="0" w:color="auto"/>
      </w:divBdr>
    </w:div>
    <w:div w:id="1654138739">
      <w:bodyDiv w:val="1"/>
      <w:marLeft w:val="0"/>
      <w:marRight w:val="0"/>
      <w:marTop w:val="0"/>
      <w:marBottom w:val="0"/>
      <w:divBdr>
        <w:top w:val="none" w:sz="0" w:space="0" w:color="auto"/>
        <w:left w:val="none" w:sz="0" w:space="0" w:color="auto"/>
        <w:bottom w:val="none" w:sz="0" w:space="0" w:color="auto"/>
        <w:right w:val="none" w:sz="0" w:space="0" w:color="auto"/>
      </w:divBdr>
    </w:div>
    <w:div w:id="1686977241">
      <w:bodyDiv w:val="1"/>
      <w:marLeft w:val="0"/>
      <w:marRight w:val="0"/>
      <w:marTop w:val="0"/>
      <w:marBottom w:val="0"/>
      <w:divBdr>
        <w:top w:val="none" w:sz="0" w:space="0" w:color="auto"/>
        <w:left w:val="none" w:sz="0" w:space="0" w:color="auto"/>
        <w:bottom w:val="none" w:sz="0" w:space="0" w:color="auto"/>
        <w:right w:val="none" w:sz="0" w:space="0" w:color="auto"/>
      </w:divBdr>
    </w:div>
    <w:div w:id="1731924020">
      <w:bodyDiv w:val="1"/>
      <w:marLeft w:val="0"/>
      <w:marRight w:val="0"/>
      <w:marTop w:val="0"/>
      <w:marBottom w:val="0"/>
      <w:divBdr>
        <w:top w:val="none" w:sz="0" w:space="0" w:color="auto"/>
        <w:left w:val="none" w:sz="0" w:space="0" w:color="auto"/>
        <w:bottom w:val="none" w:sz="0" w:space="0" w:color="auto"/>
        <w:right w:val="none" w:sz="0" w:space="0" w:color="auto"/>
      </w:divBdr>
    </w:div>
    <w:div w:id="1844663177">
      <w:bodyDiv w:val="1"/>
      <w:marLeft w:val="0"/>
      <w:marRight w:val="0"/>
      <w:marTop w:val="0"/>
      <w:marBottom w:val="0"/>
      <w:divBdr>
        <w:top w:val="none" w:sz="0" w:space="0" w:color="auto"/>
        <w:left w:val="none" w:sz="0" w:space="0" w:color="auto"/>
        <w:bottom w:val="none" w:sz="0" w:space="0" w:color="auto"/>
        <w:right w:val="none" w:sz="0" w:space="0" w:color="auto"/>
      </w:divBdr>
    </w:div>
    <w:div w:id="1884100581">
      <w:bodyDiv w:val="1"/>
      <w:marLeft w:val="0"/>
      <w:marRight w:val="0"/>
      <w:marTop w:val="0"/>
      <w:marBottom w:val="0"/>
      <w:divBdr>
        <w:top w:val="none" w:sz="0" w:space="0" w:color="auto"/>
        <w:left w:val="none" w:sz="0" w:space="0" w:color="auto"/>
        <w:bottom w:val="none" w:sz="0" w:space="0" w:color="auto"/>
        <w:right w:val="none" w:sz="0" w:space="0" w:color="auto"/>
      </w:divBdr>
    </w:div>
    <w:div w:id="2005237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vasilievats@mail.ru" TargetMode="External"/><Relationship Id="rId4" Type="http://schemas.microsoft.com/office/2007/relationships/stylesWithEffects" Target="stylesWithEffects.xml"/><Relationship Id="rId9" Type="http://schemas.openxmlformats.org/officeDocument/2006/relationships/hyperlink" Target="mailto:vasilievats@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8D28A9-B3F6-4336-8049-EDB31C5D1A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2522</Words>
  <Characters>14378</Characters>
  <Application>Microsoft Office Word</Application>
  <DocSecurity>0</DocSecurity>
  <Lines>119</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16867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 С. Васильева</dc:creator>
  <cp:lastModifiedBy>Татьяна С. Васильева</cp:lastModifiedBy>
  <cp:revision>2</cp:revision>
  <cp:lastPrinted>2019-05-13T08:42:00Z</cp:lastPrinted>
  <dcterms:created xsi:type="dcterms:W3CDTF">2019-05-14T10:22:00Z</dcterms:created>
  <dcterms:modified xsi:type="dcterms:W3CDTF">2019-05-14T10:22:00Z</dcterms:modified>
</cp:coreProperties>
</file>